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univalle.png"/>
                    <pic:cNvPicPr/>
                  </pic:nvPicPr>
                  <pic:blipFill>
                    <a:blip r:embed="rId11"/>
                    <a:stretch>
                      <a:fillRect/>
                    </a:stretch>
                  </pic:blipFill>
                  <pic:spPr>
                    <a:xfrm>
                      <a:off x="0" y="0"/>
                      <a:ext cx="914400" cy="914400"/>
                    </a:xfrm>
                    <a:prstGeom prst="rect"/>
                  </pic:spPr>
                </pic:pic>
              </a:graphicData>
            </a:graphic>
          </wp:inline>
        </w:drawing>
      </w:r>
    </w:p>
    <w:p>
      <w:pPr>
        <w:jc w:val="center"/>
      </w:pPr>
      <w:r>
        <w:rPr>
          <w:b/>
          <w:sz w:val="28"/>
        </w:rPr>
        <w:t>UNIVERSIDAD DEL VALLE</w:t>
      </w:r>
    </w:p>
    <w:p>
      <w:pPr>
        <w:spacing w:after="960"/>
        <w:jc w:val="center"/>
      </w:pPr>
      <w:r>
        <w:t>Software Quality Assurance</w:t>
      </w:r>
    </w:p>
    <w:p>
      <w:pPr>
        <w:pStyle w:val="Title"/>
        <w:jc w:val="center"/>
      </w:pPr>
      <w:r>
        <w:t>Plan de aseguramiento y pruebas de UniFood</w:t>
      </w:r>
    </w:p>
    <w:p>
      <w:pPr>
        <w:pStyle w:val="Subtitle"/>
        <w:jc w:val="center"/>
      </w:pPr>
      <w:r>
        <w:t>Integración de la calidad con Scrum</w:t>
      </w:r>
    </w:p>
    <w:p>
      <w:pPr>
        <w:spacing w:after="760"/>
        <w:jc w:val="center"/>
      </w:pPr>
      <w:r>
        <w:t>Unidades 1  2  3</w:t>
      </w:r>
    </w:p>
    <w:p>
      <w:pPr>
        <w:spacing w:after="100"/>
        <w:jc w:val="center"/>
      </w:pPr>
      <w:r>
        <w:t>Ian Romero</w:t>
      </w:r>
    </w:p>
    <w:p>
      <w:pPr>
        <w:spacing w:after="100"/>
        <w:jc w:val="center"/>
      </w:pPr>
      <w:r>
        <w:t>Kathleen Barrientos</w:t>
      </w:r>
    </w:p>
    <w:p>
      <w:pPr>
        <w:spacing w:after="100"/>
        <w:jc w:val="center"/>
      </w:pPr>
      <w:r>
        <w:t>Sergio Iporre</w:t>
      </w:r>
    </w:p>
    <w:p>
      <w:pPr>
        <w:spacing w:before="700"/>
        <w:jc w:val="center"/>
      </w:pPr>
      <w:r>
        <w:t>27 de octubre de 2026</w:t>
      </w:r>
    </w:p>
    <w:p>
      <w:pPr>
        <w:jc w:val="center"/>
      </w:pPr>
      <w:r>
        <w:t>Versión 1.3</w:t>
      </w:r>
    </w:p>
    <w:p>
      <w:r>
        <w:br w:type="page"/>
      </w:r>
    </w:p>
    <w:p>
      <w:pPr>
        <w:pStyle w:val="Heading1"/>
      </w:pPr>
      <w:r>
        <w:t>Contenido</w:t>
      </w:r>
    </w:p>
    <w:p>
      <w:pPr>
        <w:tabs>
          <w:tab w:pos="9494" w:val="right"/>
        </w:tabs>
        <w:spacing w:after="160"/>
      </w:pPr>
      <w:hyperlink w:anchor="sec_1">
        <w:r>
          <w:rPr>
            <w:color w:val="000000"/>
          </w:rPr>
          <w:t>Resumen ejecutivo</w:t>
        </w:r>
      </w:hyperlink>
      <w:r>
        <w:tab/>
        <w:t>3</w:t>
      </w:r>
    </w:p>
    <w:p>
      <w:pPr>
        <w:tabs>
          <w:tab w:pos="9494" w:val="right"/>
        </w:tabs>
        <w:spacing w:after="160"/>
      </w:pPr>
      <w:hyperlink w:anchor="sec_2">
        <w:r>
          <w:rPr>
            <w:color w:val="000000"/>
          </w:rPr>
          <w:t>Integración de las unidades</w:t>
        </w:r>
      </w:hyperlink>
      <w:r>
        <w:tab/>
        <w:t>3</w:t>
      </w:r>
    </w:p>
    <w:p>
      <w:pPr>
        <w:tabs>
          <w:tab w:pos="9494" w:val="right"/>
        </w:tabs>
        <w:spacing w:after="160"/>
      </w:pPr>
      <w:hyperlink w:anchor="sec_3">
        <w:r>
          <w:rPr>
            <w:color w:val="000000"/>
          </w:rPr>
          <w:t>Calidad del proceso y requisitos</w:t>
        </w:r>
      </w:hyperlink>
      <w:r>
        <w:tab/>
        <w:t>4</w:t>
      </w:r>
    </w:p>
    <w:p>
      <w:pPr>
        <w:tabs>
          <w:tab w:pos="9494" w:val="right"/>
        </w:tabs>
        <w:spacing w:after="160"/>
      </w:pPr>
      <w:hyperlink w:anchor="sec_4">
        <w:r>
          <w:rPr>
            <w:color w:val="000000"/>
          </w:rPr>
          <w:t>Organización del trabajo con Scrum</w:t>
        </w:r>
      </w:hyperlink>
      <w:r>
        <w:tab/>
        <w:t>7</w:t>
      </w:r>
    </w:p>
    <w:p>
      <w:pPr>
        <w:tabs>
          <w:tab w:pos="9494" w:val="right"/>
        </w:tabs>
        <w:spacing w:after="160"/>
      </w:pPr>
      <w:hyperlink w:anchor="sec_5">
        <w:r>
          <w:rPr>
            <w:color w:val="000000"/>
          </w:rPr>
          <w:t>Plan de pruebas TP UF 01</w:t>
        </w:r>
      </w:hyperlink>
      <w:r>
        <w:tab/>
        <w:t>9</w:t>
      </w:r>
    </w:p>
    <w:p>
      <w:pPr>
        <w:tabs>
          <w:tab w:pos="9494" w:val="right"/>
        </w:tabs>
        <w:spacing w:after="160"/>
      </w:pPr>
      <w:hyperlink w:anchor="sec_6">
        <w:r>
          <w:rPr>
            <w:color w:val="000000"/>
          </w:rPr>
          <w:t>Casos de prueba y trazabilidad</w:t>
        </w:r>
      </w:hyperlink>
      <w:r>
        <w:tab/>
        <w:t>11</w:t>
      </w:r>
    </w:p>
    <w:p>
      <w:pPr>
        <w:tabs>
          <w:tab w:pos="9494" w:val="right"/>
        </w:tabs>
        <w:spacing w:after="160"/>
      </w:pPr>
      <w:hyperlink w:anchor="sec_7">
        <w:r>
          <w:rPr>
            <w:color w:val="000000"/>
          </w:rPr>
          <w:t>Prácticas orientadas a la calidad</w:t>
        </w:r>
      </w:hyperlink>
      <w:r>
        <w:tab/>
        <w:t>13</w:t>
      </w:r>
    </w:p>
    <w:p>
      <w:pPr>
        <w:tabs>
          <w:tab w:pos="9494" w:val="right"/>
        </w:tabs>
        <w:spacing w:after="160"/>
      </w:pPr>
      <w:hyperlink w:anchor="sec_8">
        <w:r>
          <w:rPr>
            <w:color w:val="000000"/>
          </w:rPr>
          <w:t>Revisión y registro de hallazgos</w:t>
        </w:r>
      </w:hyperlink>
      <w:r>
        <w:tab/>
        <w:t>14</w:t>
      </w:r>
    </w:p>
    <w:p>
      <w:pPr>
        <w:tabs>
          <w:tab w:pos="9494" w:val="right"/>
        </w:tabs>
        <w:spacing w:after="160"/>
      </w:pPr>
      <w:hyperlink w:anchor="sec_9">
        <w:r>
          <w:rPr>
            <w:color w:val="000000"/>
          </w:rPr>
          <w:t>Plan de acciones de mejora</w:t>
        </w:r>
      </w:hyperlink>
      <w:r>
        <w:tab/>
        <w:t>15</w:t>
      </w:r>
    </w:p>
    <w:p>
      <w:pPr>
        <w:tabs>
          <w:tab w:pos="9494" w:val="right"/>
        </w:tabs>
        <w:spacing w:after="160"/>
      </w:pPr>
      <w:hyperlink w:anchor="sec_10">
        <w:r>
          <w:rPr>
            <w:color w:val="000000"/>
          </w:rPr>
          <w:t>Conclusiones y seguimiento</w:t>
        </w:r>
      </w:hyperlink>
      <w:r>
        <w:tab/>
        <w:t>15</w:t>
      </w:r>
    </w:p>
    <w:p>
      <w:pPr>
        <w:tabs>
          <w:tab w:pos="9494" w:val="right"/>
        </w:tabs>
        <w:spacing w:after="160"/>
      </w:pPr>
      <w:hyperlink w:anchor="sec_11">
        <w:r>
          <w:rPr>
            <w:color w:val="000000"/>
          </w:rPr>
          <w:t>Referencias</w:t>
        </w:r>
      </w:hyperlink>
      <w:r>
        <w:tab/>
        <w:t>16</w:t>
      </w:r>
    </w:p>
    <w:p>
      <w:pPr>
        <w:tabs>
          <w:tab w:pos="9494" w:val="right"/>
        </w:tabs>
        <w:spacing w:after="160"/>
      </w:pPr>
      <w:hyperlink w:anchor="sec_12">
        <w:r>
          <w:rPr>
            <w:color w:val="000000"/>
          </w:rPr>
          <w:t>Anexos de evidencia</w:t>
        </w:r>
      </w:hyperlink>
      <w:r>
        <w:tab/>
        <w:t>17</w:t>
      </w:r>
    </w:p>
    <w:p>
      <w:r>
        <w:br w:type="page"/>
      </w:r>
    </w:p>
    <w:p>
      <w:bookmarkStart w:id="100" w:name="sec_1"/>
      <w:pPr>
        <w:pStyle w:val="Heading1"/>
      </w:pPr>
      <w:r>
        <w:t>Resumen ejecutivo</w:t>
      </w:r>
      <w:bookmarkEnd w:id="100"/>
    </w:p>
    <w:p>
      <w:r>
        <w:t>UniFood integra un catálogo universitario, carrito, pedidos y administración de productos en una aplicación web adaptable a dispositivos móviles. La primera implementación PWA incorpora instalación compatible y una pantalla sin conexión, mientras que las operaciones del negocio requieren acceso al servidor.</w:t>
      </w:r>
    </w:p>
    <w:p>
      <w:r>
        <w:t>La verificación automatizada del 27 de octubre de 2026 registró 14 pruebas PHP aprobadas con 110 aserciones, 6 pruebas del service worker, 7 de Cypress y 4 de Selenium en GitHub Actions. Estos resultados respaldan los comportamientos incluidos en las suites; la cobertura de código, la instalación en teléfonos reales y los ensayos de carga todavía no se han medido.</w:t>
      </w:r>
    </w:p>
    <w:p>
      <w:r>
        <w:t>El plan articula las tres unidades de la asignatura mediante requisitos verificables, historias de usuario, casos de prueba, trazabilidad y controles de calidad dentro de Scrum. Las responsabilidades fueron confirmadas por el usuario; fechas y estimaciones se acordarán en la planificación del equipo. Se adjuntan backlog, tablero GitHub y reportes reales de las cuatro suites, con campaña CI aprobada.</w:t>
      </w:r>
    </w:p>
    <w:p>
      <w:r>
        <w:t>Se corrigió la recuperación de contraseña y se verificaron caducidad, hash, uso único y limitación de solicitudes. La entrega del enlace permanece configurada en log para la demostración; no se ha configurado correo de producción.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2592"/>
        <w:gridCol w:w="7046"/>
      </w:tblGrid>
      <w:tr>
        <w:trPr>
          <w:cantSplit/>
          <w:tblHeader/>
        </w:trPr>
        <w:tc>
          <w:tcPr>
            <w:tcW w:type="dxa" w:w="2592"/>
            <w:vAlign w:val="center"/>
            <w:shd w:fill="303841"/>
          </w:tcPr>
          <w:p>
            <w:pPr>
              <w:keepNext/>
              <w:spacing w:after="40" w:before="20" w:line="254" w:lineRule="auto"/>
              <w:jc w:val="center"/>
            </w:pPr>
            <w:r>
              <w:rPr>
                <w:rFonts w:ascii="Arial" w:hAnsi="Arial"/>
                <w:b/>
                <w:color w:val="FFFFFF"/>
                <w:sz w:val="18"/>
              </w:rPr>
              <w:t>Control del documento</w:t>
            </w:r>
          </w:p>
        </w:tc>
        <w:tc>
          <w:tcPr>
            <w:tcW w:type="dxa" w:w="7046"/>
            <w:vAlign w:val="center"/>
            <w:shd w:fill="303841"/>
          </w:tcPr>
          <w:p>
            <w:pPr>
              <w:keepNext/>
              <w:spacing w:after="40" w:before="20" w:line="254" w:lineRule="auto"/>
            </w:pPr>
            <w:r>
              <w:rPr>
                <w:rFonts w:ascii="Arial" w:hAnsi="Arial"/>
                <w:b/>
                <w:color w:val="FFFFFF"/>
                <w:sz w:val="18"/>
              </w:rPr>
              <w:t>Registro</w:t>
            </w:r>
          </w:p>
        </w:tc>
      </w:tr>
      <w:tr>
        <w:trPr>
          <w:cantSplit/>
        </w:trPr>
        <w:tc>
          <w:tcPr>
            <w:tcW w:type="dxa" w:w="2592"/>
            <w:vAlign w:val="center"/>
            <w:shd w:fill="FFFFFF"/>
          </w:tcPr>
          <w:p>
            <w:pPr>
              <w:spacing w:after="40" w:before="20" w:line="254" w:lineRule="auto"/>
              <w:jc w:val="center"/>
            </w:pPr>
            <w:r>
              <w:rPr>
                <w:rFonts w:ascii="Arial" w:hAnsi="Arial"/>
                <w:sz w:val="18"/>
              </w:rPr>
              <w:t>Código</w:t>
            </w:r>
          </w:p>
        </w:tc>
        <w:tc>
          <w:tcPr>
            <w:tcW w:type="dxa" w:w="7046"/>
            <w:vAlign w:val="center"/>
            <w:shd w:fill="FFFFFF"/>
          </w:tcPr>
          <w:p>
            <w:pPr>
              <w:spacing w:after="40" w:before="20" w:line="254" w:lineRule="auto"/>
            </w:pPr>
            <w:r>
              <w:rPr>
                <w:rFonts w:ascii="Arial" w:hAnsi="Arial"/>
                <w:sz w:val="18"/>
              </w:rPr>
              <w:t>SQA-UF-01</w:t>
            </w:r>
          </w:p>
        </w:tc>
      </w:tr>
      <w:tr>
        <w:trPr>
          <w:cantSplit/>
        </w:trPr>
        <w:tc>
          <w:tcPr>
            <w:tcW w:type="dxa" w:w="2592"/>
            <w:vAlign w:val="center"/>
            <w:shd w:fill="F2F4F6"/>
          </w:tcPr>
          <w:p>
            <w:pPr>
              <w:spacing w:after="40" w:before="20" w:line="254" w:lineRule="auto"/>
              <w:jc w:val="center"/>
            </w:pPr>
            <w:r>
              <w:rPr>
                <w:rFonts w:ascii="Arial" w:hAnsi="Arial"/>
                <w:sz w:val="18"/>
              </w:rPr>
              <w:t>Versión y fecha</w:t>
            </w:r>
          </w:p>
        </w:tc>
        <w:tc>
          <w:tcPr>
            <w:tcW w:type="dxa" w:w="7046"/>
            <w:vAlign w:val="center"/>
            <w:shd w:fill="F2F4F6"/>
          </w:tcPr>
          <w:p>
            <w:pPr>
              <w:spacing w:after="40" w:before="20" w:line="254" w:lineRule="auto"/>
            </w:pPr>
            <w:r>
              <w:rPr>
                <w:rFonts w:ascii="Arial" w:hAnsi="Arial"/>
                <w:sz w:val="18"/>
              </w:rPr>
              <w:t>1.3 | 27 de octubre de 2026</w:t>
            </w:r>
          </w:p>
        </w:tc>
      </w:tr>
      <w:tr>
        <w:trPr>
          <w:cantSplit/>
        </w:trPr>
        <w:tc>
          <w:tcPr>
            <w:tcW w:type="dxa" w:w="2592"/>
            <w:vAlign w:val="center"/>
            <w:shd w:fill="FFFFFF"/>
          </w:tcPr>
          <w:p>
            <w:pPr>
              <w:spacing w:after="40" w:before="20" w:line="254" w:lineRule="auto"/>
              <w:jc w:val="center"/>
            </w:pPr>
            <w:r>
              <w:rPr>
                <w:rFonts w:ascii="Arial" w:hAnsi="Arial"/>
                <w:sz w:val="18"/>
              </w:rPr>
              <w:t>Autores</w:t>
            </w:r>
          </w:p>
        </w:tc>
        <w:tc>
          <w:tcPr>
            <w:tcW w:type="dxa" w:w="7046"/>
            <w:vAlign w:val="center"/>
            <w:shd w:fill="FFFFFF"/>
          </w:tcPr>
          <w:p>
            <w:pPr>
              <w:spacing w:after="40" w:before="20" w:line="254" w:lineRule="auto"/>
            </w:pPr>
            <w:r>
              <w:rPr>
                <w:rFonts w:ascii="Arial" w:hAnsi="Arial"/>
                <w:sz w:val="18"/>
              </w:rPr>
              <w:t>Ian Romero, Kathleen Barrientos y Sergio Iporre</w:t>
            </w:r>
          </w:p>
        </w:tc>
      </w:tr>
      <w:tr>
        <w:trPr>
          <w:cantSplit/>
        </w:trPr>
        <w:tc>
          <w:tcPr>
            <w:tcW w:type="dxa" w:w="2592"/>
            <w:vAlign w:val="center"/>
            <w:shd w:fill="F2F4F6"/>
          </w:tcPr>
          <w:p>
            <w:pPr>
              <w:spacing w:after="40" w:before="20" w:line="254" w:lineRule="auto"/>
              <w:jc w:val="center"/>
            </w:pPr>
            <w:r>
              <w:rPr>
                <w:rFonts w:ascii="Arial" w:hAnsi="Arial"/>
                <w:sz w:val="18"/>
              </w:rPr>
              <w:t>Destinatario</w:t>
            </w:r>
          </w:p>
        </w:tc>
        <w:tc>
          <w:tcPr>
            <w:tcW w:type="dxa" w:w="7046"/>
            <w:vAlign w:val="center"/>
            <w:shd w:fill="F2F4F6"/>
          </w:tcPr>
          <w:p>
            <w:pPr>
              <w:spacing w:after="40" w:before="20" w:line="254" w:lineRule="auto"/>
            </w:pPr>
            <w:r>
              <w:rPr>
                <w:rFonts w:ascii="Arial" w:hAnsi="Arial"/>
                <w:sz w:val="18"/>
              </w:rPr>
              <w:t>Evaluación académica de Software Quality Assurance</w:t>
            </w:r>
          </w:p>
        </w:tc>
      </w:tr>
      <w:tr>
        <w:trPr>
          <w:cantSplit/>
        </w:trPr>
        <w:tc>
          <w:tcPr>
            <w:tcW w:type="dxa" w:w="2592"/>
            <w:vAlign w:val="center"/>
            <w:shd w:fill="FFFFFF"/>
          </w:tcPr>
          <w:p>
            <w:pPr>
              <w:spacing w:after="40" w:before="20" w:line="254" w:lineRule="auto"/>
            </w:pPr>
            <w:r>
              <w:rPr>
                <w:rFonts w:ascii="Arial" w:hAnsi="Arial"/>
                <w:sz w:val="18"/>
              </w:rPr>
              <w:t>Objeto de verificación</w:t>
            </w:r>
          </w:p>
        </w:tc>
        <w:tc>
          <w:tcPr>
            <w:tcW w:type="dxa" w:w="7046"/>
            <w:vAlign w:val="center"/>
            <w:shd w:fill="FFFFFF"/>
          </w:tcPr>
          <w:p>
            <w:pPr>
              <w:spacing w:after="40" w:before="20" w:line="254" w:lineRule="auto"/>
            </w:pPr>
            <w:r>
              <w:rPr>
                <w:rFonts w:ascii="Arial" w:hAnsi="Arial"/>
                <w:sz w:val="18"/>
              </w:rPr>
              <w:t>Código verificado 14774aa01fc7d735df3a5dc9e6b65cdff87d1f32</w:t>
            </w:r>
          </w:p>
        </w:tc>
      </w:tr>
      <w:tr>
        <w:trPr>
          <w:cantSplit/>
        </w:trPr>
        <w:tc>
          <w:tcPr>
            <w:tcW w:type="dxa" w:w="2592"/>
            <w:vAlign w:val="center"/>
            <w:shd w:fill="F2F4F6"/>
          </w:tcPr>
          <w:p>
            <w:pPr>
              <w:spacing w:after="40" w:before="20" w:line="254" w:lineRule="auto"/>
              <w:jc w:val="center"/>
            </w:pPr>
            <w:r>
              <w:rPr>
                <w:rFonts w:ascii="Arial" w:hAnsi="Arial"/>
                <w:sz w:val="18"/>
              </w:rPr>
              <w:t>Tipo de entrega</w:t>
            </w:r>
          </w:p>
        </w:tc>
        <w:tc>
          <w:tcPr>
            <w:tcW w:type="dxa" w:w="7046"/>
            <w:vAlign w:val="center"/>
            <w:shd w:fill="F2F4F6"/>
          </w:tcPr>
          <w:p>
            <w:pPr>
              <w:spacing w:after="40" w:before="20" w:line="254" w:lineRule="auto"/>
            </w:pPr>
            <w:r>
              <w:rPr>
                <w:rFonts w:ascii="Arial" w:hAnsi="Arial"/>
                <w:sz w:val="18"/>
              </w:rPr>
              <w:t>Informe académico y línea base del Test Plan</w:t>
            </w:r>
          </w:p>
        </w:tc>
      </w:tr>
    </w:tbl>
    <w:p>
      <w:pPr>
        <w:spacing w:after="80" w:line="40" w:lineRule="exact"/>
      </w:pPr>
      <w:r>
        <w:rPr>
          <w:sz w:val="4"/>
        </w:rPr>
      </w:r>
    </w:p>
    <w:p>
      <w:r>
        <w:t>El informe integra los fundamentos de calidad, el diseño de pruebas y los controles de Scrum aplicados a UniFood. TP-UF-01 establece la primera línea base formal del plan de pruebas y conserva los resultados de verificación disponibles al cierre del informe.</w:t>
      </w:r>
    </w:p>
    <w:p>
      <w:bookmarkStart w:id="101" w:name="sec_2"/>
      <w:pPr>
        <w:pStyle w:val="Heading1"/>
      </w:pPr>
      <w:r>
        <w:t>Integración de las unidades</w:t>
      </w:r>
      <w:bookmarkEnd w:id="101"/>
    </w:p>
    <w:p>
      <w:r>
        <w:t>Los contenidos de las unidades se aplican al mismo producto y se relacionan con artefactos verificables. La actividad docente establece el Test Plan y las evidencias de la entrega [1]; los materiales de las unidades aportan los fundamentos y técnicas [2-4].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008"/>
        <w:gridCol w:w="2520"/>
        <w:gridCol w:w="3096"/>
        <w:gridCol w:w="3014"/>
      </w:tblGrid>
      <w:tr>
        <w:trPr>
          <w:cantSplit/>
          <w:tblHeader/>
        </w:trPr>
        <w:tc>
          <w:tcPr>
            <w:tcW w:type="dxa" w:w="1008"/>
            <w:vAlign w:val="center"/>
            <w:shd w:fill="303841"/>
          </w:tcPr>
          <w:p>
            <w:pPr>
              <w:keepNext/>
              <w:spacing w:after="40" w:before="20" w:line="254" w:lineRule="auto"/>
              <w:jc w:val="center"/>
            </w:pPr>
            <w:r>
              <w:rPr>
                <w:rFonts w:ascii="Arial" w:hAnsi="Arial"/>
                <w:b/>
                <w:color w:val="FFFFFF"/>
                <w:sz w:val="18"/>
              </w:rPr>
              <w:t>Unidad</w:t>
            </w:r>
          </w:p>
        </w:tc>
        <w:tc>
          <w:tcPr>
            <w:tcW w:type="dxa" w:w="2520"/>
            <w:vAlign w:val="center"/>
            <w:shd w:fill="303841"/>
          </w:tcPr>
          <w:p>
            <w:pPr>
              <w:keepNext/>
              <w:spacing w:after="40" w:before="20" w:line="254" w:lineRule="auto"/>
            </w:pPr>
            <w:r>
              <w:rPr>
                <w:rFonts w:ascii="Arial" w:hAnsi="Arial"/>
                <w:b/>
                <w:color w:val="FFFFFF"/>
                <w:sz w:val="18"/>
              </w:rPr>
              <w:t>Temas de los materiales</w:t>
            </w:r>
          </w:p>
        </w:tc>
        <w:tc>
          <w:tcPr>
            <w:tcW w:type="dxa" w:w="3096"/>
            <w:vAlign w:val="center"/>
            <w:shd w:fill="303841"/>
          </w:tcPr>
          <w:p>
            <w:pPr>
              <w:keepNext/>
              <w:spacing w:after="40" w:before="20" w:line="254" w:lineRule="auto"/>
            </w:pPr>
            <w:r>
              <w:rPr>
                <w:rFonts w:ascii="Arial" w:hAnsi="Arial"/>
                <w:b/>
                <w:color w:val="FFFFFF"/>
                <w:sz w:val="18"/>
              </w:rPr>
              <w:t>Aplicación a UniFood</w:t>
            </w:r>
          </w:p>
        </w:tc>
        <w:tc>
          <w:tcPr>
            <w:tcW w:type="dxa" w:w="3014"/>
            <w:vAlign w:val="center"/>
            <w:shd w:fill="303841"/>
          </w:tcPr>
          <w:p>
            <w:pPr>
              <w:keepNext/>
              <w:spacing w:after="40" w:before="20" w:line="254" w:lineRule="auto"/>
            </w:pPr>
            <w:r>
              <w:rPr>
                <w:rFonts w:ascii="Arial" w:hAnsi="Arial"/>
                <w:b/>
                <w:color w:val="FFFFFF"/>
                <w:sz w:val="18"/>
              </w:rPr>
              <w:t>Estado de la evidencia</w:t>
            </w:r>
          </w:p>
        </w:tc>
      </w:tr>
      <w:tr>
        <w:trPr>
          <w:cantSplit/>
        </w:trPr>
        <w:tc>
          <w:tcPr>
            <w:tcW w:type="dxa" w:w="1008"/>
            <w:vAlign w:val="center"/>
            <w:shd w:fill="FFFFFF"/>
          </w:tcPr>
          <w:p>
            <w:pPr>
              <w:spacing w:after="40" w:before="20" w:line="254" w:lineRule="auto"/>
              <w:jc w:val="center"/>
            </w:pPr>
            <w:r>
              <w:rPr>
                <w:rFonts w:ascii="Arial" w:hAnsi="Arial"/>
                <w:sz w:val="18"/>
              </w:rPr>
              <w:t>Unidad 1</w:t>
            </w:r>
          </w:p>
        </w:tc>
        <w:tc>
          <w:tcPr>
            <w:tcW w:type="dxa" w:w="2520"/>
            <w:vAlign w:val="center"/>
            <w:shd w:fill="FFFFFF"/>
          </w:tcPr>
          <w:p>
            <w:pPr>
              <w:spacing w:after="40" w:before="20" w:line="254" w:lineRule="auto"/>
            </w:pPr>
            <w:r>
              <w:rPr>
                <w:rFonts w:ascii="Arial" w:hAnsi="Arial"/>
                <w:sz w:val="18"/>
              </w:rPr>
              <w:t>Conceptos y componentes SQA; calidad del proceso/producto; atributos y modelos; SDLC/STLC; requisitos; mejora continua</w:t>
            </w:r>
          </w:p>
        </w:tc>
        <w:tc>
          <w:tcPr>
            <w:tcW w:type="dxa" w:w="3096"/>
            <w:vAlign w:val="center"/>
            <w:shd w:fill="FFFFFF"/>
          </w:tcPr>
          <w:p>
            <w:pPr>
              <w:spacing w:after="40" w:before="20" w:line="254" w:lineRule="auto"/>
            </w:pPr>
            <w:r>
              <w:rPr>
                <w:rFonts w:ascii="Arial" w:hAnsi="Arial"/>
                <w:sz w:val="18"/>
              </w:rPr>
              <w:t>Requisitos y reglas de negocio; políticas de calidad; relación desarrollo-pruebas; riesgos y criterios medibles</w:t>
            </w:r>
          </w:p>
        </w:tc>
        <w:tc>
          <w:tcPr>
            <w:tcW w:type="dxa" w:w="3014"/>
            <w:vAlign w:val="center"/>
            <w:shd w:fill="FFFFFF"/>
          </w:tcPr>
          <w:p>
            <w:pPr>
              <w:spacing w:after="40" w:before="20" w:line="254" w:lineRule="auto"/>
            </w:pPr>
            <w:r>
              <w:rPr>
                <w:rFonts w:ascii="Arial" w:hAnsi="Arial"/>
                <w:sz w:val="18"/>
              </w:rPr>
              <w:t>Requisitos, políticas y relación SDLC/STLC documentados; validación de aceptación en el cierre académico</w:t>
            </w:r>
          </w:p>
        </w:tc>
      </w:tr>
      <w:tr>
        <w:trPr>
          <w:cantSplit/>
        </w:trPr>
        <w:tc>
          <w:tcPr>
            <w:tcW w:type="dxa" w:w="1008"/>
            <w:vAlign w:val="center"/>
            <w:shd w:fill="F2F4F6"/>
          </w:tcPr>
          <w:p>
            <w:pPr>
              <w:spacing w:after="40" w:before="20" w:line="254" w:lineRule="auto"/>
              <w:jc w:val="center"/>
            </w:pPr>
            <w:r>
              <w:rPr>
                <w:rFonts w:ascii="Arial" w:hAnsi="Arial"/>
                <w:sz w:val="18"/>
              </w:rPr>
              <w:t>Unidad 2</w:t>
            </w:r>
          </w:p>
        </w:tc>
        <w:tc>
          <w:tcPr>
            <w:tcW w:type="dxa" w:w="2520"/>
            <w:vAlign w:val="center"/>
            <w:shd w:fill="F2F4F6"/>
          </w:tcPr>
          <w:p>
            <w:pPr>
              <w:spacing w:after="40" w:before="20" w:line="254" w:lineRule="auto"/>
            </w:pPr>
            <w:r>
              <w:rPr>
                <w:rFonts w:ascii="Arial" w:hAnsi="Arial"/>
                <w:sz w:val="18"/>
              </w:rPr>
              <w:t>Git/GitHub/GitLab; Test Plan y casos; equivalencias y límites; caja negra/blanca; V&amp;V; niveles de pruebas; herramientas de gestión y automatización; métricas y debugging</w:t>
            </w:r>
          </w:p>
        </w:tc>
        <w:tc>
          <w:tcPr>
            <w:tcW w:type="dxa" w:w="3096"/>
            <w:vAlign w:val="center"/>
            <w:shd w:fill="F2F4F6"/>
          </w:tcPr>
          <w:p>
            <w:pPr>
              <w:spacing w:after="40" w:before="20" w:line="254" w:lineRule="auto"/>
            </w:pPr>
            <w:r>
              <w:rPr>
                <w:rFonts w:ascii="Arial" w:hAnsi="Arial"/>
                <w:sz w:val="18"/>
              </w:rPr>
              <w:t>Repositorio, casos de prueba, matriz de trazabilidad, PHPUnit, pruebas JavaScript, selección de dos herramientas de la lista del plan</w:t>
            </w:r>
          </w:p>
        </w:tc>
        <w:tc>
          <w:tcPr>
            <w:tcW w:type="dxa" w:w="3014"/>
            <w:vAlign w:val="center"/>
            <w:shd w:fill="F2F4F6"/>
          </w:tcPr>
          <w:p>
            <w:pPr>
              <w:spacing w:after="40" w:before="20" w:line="254" w:lineRule="auto"/>
            </w:pPr>
            <w:r>
              <w:rPr>
                <w:rFonts w:ascii="Arial" w:hAnsi="Arial"/>
                <w:sz w:val="18"/>
              </w:rPr>
              <w:t>Campaña CI aprobada con PHPUnit, PWA, Cypress y Selenium; reportes XML, JSON y capturas conservados</w:t>
            </w:r>
          </w:p>
        </w:tc>
      </w:tr>
      <w:tr>
        <w:trPr>
          <w:cantSplit/>
        </w:trPr>
        <w:tc>
          <w:tcPr>
            <w:tcW w:type="dxa" w:w="1008"/>
            <w:vAlign w:val="center"/>
            <w:shd w:fill="FFFFFF"/>
          </w:tcPr>
          <w:p>
            <w:pPr>
              <w:spacing w:after="40" w:before="20" w:line="254" w:lineRule="auto"/>
              <w:jc w:val="center"/>
            </w:pPr>
            <w:r>
              <w:rPr>
                <w:rFonts w:ascii="Arial" w:hAnsi="Arial"/>
                <w:sz w:val="18"/>
              </w:rPr>
              <w:t>Unidad 3</w:t>
            </w:r>
          </w:p>
        </w:tc>
        <w:tc>
          <w:tcPr>
            <w:tcW w:type="dxa" w:w="2520"/>
            <w:vAlign w:val="center"/>
            <w:shd w:fill="FFFFFF"/>
          </w:tcPr>
          <w:p>
            <w:pPr>
              <w:spacing w:after="40" w:before="20" w:line="254" w:lineRule="auto"/>
            </w:pPr>
            <w:r>
              <w:rPr>
                <w:rFonts w:ascii="Arial" w:hAnsi="Arial"/>
                <w:sz w:val="18"/>
              </w:rPr>
              <w:t>Scrum/Kanban/XP; inspecciones, revisiones y auditorías; TDD/ATDD/BDD/DDD</w:t>
            </w:r>
          </w:p>
        </w:tc>
        <w:tc>
          <w:tcPr>
            <w:tcW w:type="dxa" w:w="3096"/>
            <w:vAlign w:val="center"/>
            <w:shd w:fill="FFFFFF"/>
          </w:tcPr>
          <w:p>
            <w:pPr>
              <w:spacing w:after="40" w:before="20" w:line="254" w:lineRule="auto"/>
            </w:pPr>
            <w:r>
              <w:rPr>
                <w:rFonts w:ascii="Arial" w:hAnsi="Arial"/>
                <w:sz w:val="18"/>
              </w:rPr>
              <w:t>Backlog, objetivo de sprint, criterios de aceptación, DoR/DoD, registro de defectos, escenarios BDD y evidencia de corrección</w:t>
            </w:r>
          </w:p>
        </w:tc>
        <w:tc>
          <w:tcPr>
            <w:tcW w:type="dxa" w:w="3014"/>
            <w:vAlign w:val="center"/>
            <w:shd w:fill="FFFFFF"/>
          </w:tcPr>
          <w:p>
            <w:pPr>
              <w:spacing w:after="40" w:before="20" w:line="254" w:lineRule="auto"/>
            </w:pPr>
            <w:r>
              <w:rPr>
                <w:rFonts w:ascii="Arial" w:hAnsi="Arial"/>
                <w:sz w:val="18"/>
              </w:rPr>
              <w:t>Scrum elegido por el equipo. Proyecto GitHub con diez historias y PR vinculados; roles confirmados; eventos y estimaciones se registrarán por el equipo</w:t>
            </w:r>
          </w:p>
        </w:tc>
      </w:tr>
    </w:tbl>
    <w:p>
      <w:pPr>
        <w:spacing w:after="80" w:line="40" w:lineRule="exact"/>
      </w:pPr>
      <w:r>
        <w:rPr>
          <w:sz w:val="4"/>
        </w:rPr>
      </w:r>
    </w:p>
    <w:p>
      <w:r>
        <w:t>La integración comprende calidad del proceso, herramientas SQA y prácticas de calidad durante el desarrollo ágil. La automatización y la integración continua se incorporan como requisitos de la actividad [1].</w:t>
      </w:r>
    </w:p>
    <w:p>
      <w:bookmarkStart w:id="102" w:name="sec_3"/>
      <w:pPr>
        <w:pStyle w:val="Heading1"/>
      </w:pPr>
      <w:r>
        <w:t>Calidad del proceso y requisitos</w:t>
      </w:r>
      <w:bookmarkEnd w:id="102"/>
    </w:p>
    <w:p>
      <w:pPr>
        <w:pStyle w:val="Heading2"/>
      </w:pPr>
      <w:r>
        <w:t>Descripción y objetivo del producto</w:t>
      </w:r>
    </w:p>
    <w:p>
      <w:r>
        <w:t>UniFood permite a estudiantes consultar productos de la tienda universitaria, preparar un carrito y solicitar pedidos para pagar al recoger. El personal atiende los pedidos y el administrador mantiene el catálogo. La interfaz web se adapta a pantallas móviles y tiene una primera implementación PWA.</w:t>
      </w:r>
    </w:p>
    <w:p>
      <w:r>
        <w:t>Actores del sistema: estudiante, empleado y administrador. Estos roles de acceso son distintos de las responsabilidades del equipo Scrum.</w:t>
      </w:r>
    </w:p>
    <w:p>
      <w:pPr>
        <w:pStyle w:val="Heading2"/>
      </w:pPr>
      <w:r>
        <w:t>Requisitos funcionales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872"/>
        <w:gridCol w:w="7766"/>
      </w:tblGrid>
      <w:tr>
        <w:trPr>
          <w:cantSplit/>
          <w:tblHeader/>
        </w:trPr>
        <w:tc>
          <w:tcPr>
            <w:tcW w:type="dxa" w:w="1872"/>
            <w:vAlign w:val="center"/>
            <w:shd w:fill="303841"/>
          </w:tcPr>
          <w:p>
            <w:pPr>
              <w:keepNext/>
              <w:spacing w:after="40" w:before="20" w:line="254" w:lineRule="auto"/>
              <w:jc w:val="center"/>
            </w:pPr>
            <w:r>
              <w:rPr>
                <w:rFonts w:ascii="Arial" w:hAnsi="Arial"/>
                <w:b/>
                <w:color w:val="FFFFFF"/>
                <w:sz w:val="18"/>
              </w:rPr>
              <w:t>ID</w:t>
            </w:r>
          </w:p>
        </w:tc>
        <w:tc>
          <w:tcPr>
            <w:tcW w:type="dxa" w:w="7766"/>
            <w:vAlign w:val="center"/>
            <w:shd w:fill="303841"/>
          </w:tcPr>
          <w:p>
            <w:pPr>
              <w:keepNext/>
              <w:spacing w:after="40" w:before="20" w:line="254" w:lineRule="auto"/>
            </w:pPr>
            <w:r>
              <w:rPr>
                <w:rFonts w:ascii="Arial" w:hAnsi="Arial"/>
                <w:b/>
                <w:color w:val="FFFFFF"/>
                <w:sz w:val="18"/>
              </w:rPr>
              <w:t>Requisito verificable</w:t>
            </w:r>
          </w:p>
        </w:tc>
      </w:tr>
      <w:tr>
        <w:trPr>
          <w:cantSplit/>
        </w:trPr>
        <w:tc>
          <w:tcPr>
            <w:tcW w:type="dxa" w:w="1872"/>
            <w:vAlign w:val="center"/>
            <w:shd w:fill="FFFFFF"/>
          </w:tcPr>
          <w:p>
            <w:pPr>
              <w:spacing w:after="40" w:before="20" w:line="254" w:lineRule="auto"/>
              <w:jc w:val="center"/>
            </w:pPr>
            <w:r>
              <w:rPr>
                <w:rFonts w:ascii="Arial" w:hAnsi="Arial"/>
                <w:sz w:val="18"/>
              </w:rPr>
              <w:t>RF-01</w:t>
            </w:r>
          </w:p>
        </w:tc>
        <w:tc>
          <w:tcPr>
            <w:tcW w:type="dxa" w:w="7766"/>
            <w:vAlign w:val="center"/>
            <w:shd w:fill="FFFFFF"/>
          </w:tcPr>
          <w:p>
            <w:pPr>
              <w:spacing w:after="40" w:before="20" w:line="254" w:lineRule="auto"/>
            </w:pPr>
            <w:r>
              <w:rPr>
                <w:rFonts w:ascii="Arial" w:hAnsi="Arial"/>
                <w:sz w:val="18"/>
              </w:rPr>
              <w:t>Permitir autenticación, cierre de sesión y acceso según rol</w:t>
            </w:r>
          </w:p>
        </w:tc>
      </w:tr>
      <w:tr>
        <w:trPr>
          <w:cantSplit/>
        </w:trPr>
        <w:tc>
          <w:tcPr>
            <w:tcW w:type="dxa" w:w="1872"/>
            <w:vAlign w:val="center"/>
            <w:shd w:fill="F2F4F6"/>
          </w:tcPr>
          <w:p>
            <w:pPr>
              <w:spacing w:after="40" w:before="20" w:line="254" w:lineRule="auto"/>
              <w:jc w:val="center"/>
            </w:pPr>
            <w:r>
              <w:rPr>
                <w:rFonts w:ascii="Arial" w:hAnsi="Arial"/>
                <w:sz w:val="18"/>
              </w:rPr>
              <w:t>RF-02</w:t>
            </w:r>
          </w:p>
        </w:tc>
        <w:tc>
          <w:tcPr>
            <w:tcW w:type="dxa" w:w="7766"/>
            <w:vAlign w:val="center"/>
            <w:shd w:fill="F2F4F6"/>
          </w:tcPr>
          <w:p>
            <w:pPr>
              <w:spacing w:after="40" w:before="20" w:line="254" w:lineRule="auto"/>
            </w:pPr>
            <w:r>
              <w:rPr>
                <w:rFonts w:ascii="Arial" w:hAnsi="Arial"/>
                <w:sz w:val="18"/>
              </w:rPr>
              <w:t>Mostrar al estudiante productos activos y su disponibilidad</w:t>
            </w:r>
          </w:p>
        </w:tc>
      </w:tr>
      <w:tr>
        <w:trPr>
          <w:cantSplit/>
        </w:trPr>
        <w:tc>
          <w:tcPr>
            <w:tcW w:type="dxa" w:w="1872"/>
            <w:vAlign w:val="center"/>
            <w:shd w:fill="FFFFFF"/>
          </w:tcPr>
          <w:p>
            <w:pPr>
              <w:spacing w:after="40" w:before="20" w:line="254" w:lineRule="auto"/>
              <w:jc w:val="center"/>
            </w:pPr>
            <w:r>
              <w:rPr>
                <w:rFonts w:ascii="Arial" w:hAnsi="Arial"/>
                <w:sz w:val="18"/>
              </w:rPr>
              <w:t>RF-03</w:t>
            </w:r>
          </w:p>
        </w:tc>
        <w:tc>
          <w:tcPr>
            <w:tcW w:type="dxa" w:w="7766"/>
            <w:vAlign w:val="center"/>
            <w:shd w:fill="FFFFFF"/>
          </w:tcPr>
          <w:p>
            <w:pPr>
              <w:spacing w:after="40" w:before="20" w:line="254" w:lineRule="auto"/>
            </w:pPr>
            <w:r>
              <w:rPr>
                <w:rFonts w:ascii="Arial" w:hAnsi="Arial"/>
                <w:sz w:val="18"/>
              </w:rPr>
              <w:t>Agregar, actualizar y quitar productos del carrito con totales calculados por el servidor</w:t>
            </w:r>
          </w:p>
        </w:tc>
      </w:tr>
      <w:tr>
        <w:trPr>
          <w:cantSplit/>
        </w:trPr>
        <w:tc>
          <w:tcPr>
            <w:tcW w:type="dxa" w:w="1872"/>
            <w:vAlign w:val="center"/>
            <w:shd w:fill="F2F4F6"/>
          </w:tcPr>
          <w:p>
            <w:pPr>
              <w:spacing w:after="40" w:before="20" w:line="254" w:lineRule="auto"/>
              <w:jc w:val="center"/>
            </w:pPr>
            <w:r>
              <w:rPr>
                <w:rFonts w:ascii="Arial" w:hAnsi="Arial"/>
                <w:sz w:val="18"/>
              </w:rPr>
              <w:t>RF-04</w:t>
            </w:r>
          </w:p>
        </w:tc>
        <w:tc>
          <w:tcPr>
            <w:tcW w:type="dxa" w:w="7766"/>
            <w:vAlign w:val="center"/>
            <w:shd w:fill="F2F4F6"/>
          </w:tcPr>
          <w:p>
            <w:pPr>
              <w:spacing w:after="40" w:before="20" w:line="254" w:lineRule="auto"/>
            </w:pPr>
            <w:r>
              <w:rPr>
                <w:rFonts w:ascii="Arial" w:hAnsi="Arial"/>
                <w:sz w:val="18"/>
              </w:rPr>
              <w:t>Crear un pedido con identificador, detalle, total y estado pendiente; rechazar carrito vacío</w:t>
            </w:r>
          </w:p>
        </w:tc>
      </w:tr>
      <w:tr>
        <w:trPr>
          <w:cantSplit/>
        </w:trPr>
        <w:tc>
          <w:tcPr>
            <w:tcW w:type="dxa" w:w="1872"/>
            <w:vAlign w:val="center"/>
            <w:shd w:fill="FFFFFF"/>
          </w:tcPr>
          <w:p>
            <w:pPr>
              <w:spacing w:after="40" w:before="20" w:line="254" w:lineRule="auto"/>
              <w:jc w:val="center"/>
            </w:pPr>
            <w:r>
              <w:rPr>
                <w:rFonts w:ascii="Arial" w:hAnsi="Arial"/>
                <w:sz w:val="18"/>
              </w:rPr>
              <w:t>RF-05</w:t>
            </w:r>
          </w:p>
        </w:tc>
        <w:tc>
          <w:tcPr>
            <w:tcW w:type="dxa" w:w="7766"/>
            <w:vAlign w:val="center"/>
            <w:shd w:fill="FFFFFF"/>
          </w:tcPr>
          <w:p>
            <w:pPr>
              <w:spacing w:after="40" w:before="20" w:line="254" w:lineRule="auto"/>
            </w:pPr>
            <w:r>
              <w:rPr>
                <w:rFonts w:ascii="Arial" w:hAnsi="Arial"/>
                <w:sz w:val="18"/>
              </w:rPr>
              <w:t>Permitir al estudiante consultar exclusivamente sus pedidos</w:t>
            </w:r>
          </w:p>
        </w:tc>
      </w:tr>
      <w:tr>
        <w:trPr>
          <w:cantSplit/>
        </w:trPr>
        <w:tc>
          <w:tcPr>
            <w:tcW w:type="dxa" w:w="1872"/>
            <w:vAlign w:val="center"/>
            <w:shd w:fill="F2F4F6"/>
          </w:tcPr>
          <w:p>
            <w:pPr>
              <w:spacing w:after="40" w:before="20" w:line="254" w:lineRule="auto"/>
              <w:jc w:val="center"/>
            </w:pPr>
            <w:r>
              <w:rPr>
                <w:rFonts w:ascii="Arial" w:hAnsi="Arial"/>
                <w:sz w:val="18"/>
              </w:rPr>
              <w:t>RF-06</w:t>
            </w:r>
          </w:p>
        </w:tc>
        <w:tc>
          <w:tcPr>
            <w:tcW w:type="dxa" w:w="7766"/>
            <w:vAlign w:val="center"/>
            <w:shd w:fill="F2F4F6"/>
          </w:tcPr>
          <w:p>
            <w:pPr>
              <w:spacing w:after="40" w:before="20" w:line="254" w:lineRule="auto"/>
            </w:pPr>
            <w:r>
              <w:rPr>
                <w:rFonts w:ascii="Arial" w:hAnsi="Arial"/>
                <w:sz w:val="18"/>
              </w:rPr>
              <w:t>Permitir al personal avanzar pendiente → en preparación → listo → entregado; impedir modificar entregados</w:t>
            </w:r>
          </w:p>
        </w:tc>
      </w:tr>
      <w:tr>
        <w:trPr>
          <w:cantSplit/>
        </w:trPr>
        <w:tc>
          <w:tcPr>
            <w:tcW w:type="dxa" w:w="1872"/>
            <w:vAlign w:val="center"/>
            <w:shd w:fill="FFFFFF"/>
          </w:tcPr>
          <w:p>
            <w:pPr>
              <w:spacing w:after="40" w:before="20" w:line="254" w:lineRule="auto"/>
              <w:jc w:val="center"/>
            </w:pPr>
            <w:r>
              <w:rPr>
                <w:rFonts w:ascii="Arial" w:hAnsi="Arial"/>
                <w:sz w:val="18"/>
              </w:rPr>
              <w:t>RF-07</w:t>
            </w:r>
          </w:p>
        </w:tc>
        <w:tc>
          <w:tcPr>
            <w:tcW w:type="dxa" w:w="7766"/>
            <w:vAlign w:val="center"/>
            <w:shd w:fill="FFFFFF"/>
          </w:tcPr>
          <w:p>
            <w:pPr>
              <w:spacing w:after="40" w:before="20" w:line="254" w:lineRule="auto"/>
            </w:pPr>
            <w:r>
              <w:rPr>
                <w:rFonts w:ascii="Arial" w:hAnsi="Arial"/>
                <w:sz w:val="18"/>
              </w:rPr>
              <w:t>Permitir al administrador crear y editar productos con nombre, categoría, precio y disponibilidad</w:t>
            </w:r>
          </w:p>
        </w:tc>
      </w:tr>
      <w:tr>
        <w:trPr>
          <w:cantSplit/>
        </w:trPr>
        <w:tc>
          <w:tcPr>
            <w:tcW w:type="dxa" w:w="1872"/>
            <w:vAlign w:val="center"/>
            <w:shd w:fill="F2F4F6"/>
          </w:tcPr>
          <w:p>
            <w:pPr>
              <w:spacing w:after="40" w:before="20" w:line="254" w:lineRule="auto"/>
              <w:jc w:val="center"/>
            </w:pPr>
            <w:r>
              <w:rPr>
                <w:rFonts w:ascii="Arial" w:hAnsi="Arial"/>
                <w:sz w:val="18"/>
              </w:rPr>
              <w:t>RF-08</w:t>
            </w:r>
          </w:p>
        </w:tc>
        <w:tc>
          <w:tcPr>
            <w:tcW w:type="dxa" w:w="7766"/>
            <w:vAlign w:val="center"/>
            <w:shd w:fill="F2F4F6"/>
          </w:tcPr>
          <w:p>
            <w:pPr>
              <w:spacing w:after="40" w:before="20" w:line="254" w:lineRule="auto"/>
            </w:pPr>
            <w:r>
              <w:rPr>
                <w:rFonts w:ascii="Arial" w:hAnsi="Arial"/>
                <w:sz w:val="18"/>
              </w:rPr>
              <w:t>Permitir al administrador desactivar/reactivar productos conservando su registro</w:t>
            </w:r>
          </w:p>
        </w:tc>
      </w:tr>
      <w:tr>
        <w:trPr>
          <w:cantSplit/>
        </w:trPr>
        <w:tc>
          <w:tcPr>
            <w:tcW w:type="dxa" w:w="1872"/>
            <w:vAlign w:val="center"/>
            <w:shd w:fill="FFFFFF"/>
          </w:tcPr>
          <w:p>
            <w:pPr>
              <w:spacing w:after="40" w:before="20" w:line="254" w:lineRule="auto"/>
              <w:jc w:val="center"/>
            </w:pPr>
            <w:r>
              <w:rPr>
                <w:rFonts w:ascii="Arial" w:hAnsi="Arial"/>
                <w:sz w:val="18"/>
              </w:rPr>
              <w:t>RF-09</w:t>
            </w:r>
          </w:p>
        </w:tc>
        <w:tc>
          <w:tcPr>
            <w:tcW w:type="dxa" w:w="7766"/>
            <w:vAlign w:val="center"/>
            <w:shd w:fill="FFFFFF"/>
          </w:tcPr>
          <w:p>
            <w:pPr>
              <w:spacing w:after="40" w:before="20" w:line="254" w:lineRule="auto"/>
            </w:pPr>
            <w:r>
              <w:rPr>
                <w:rFonts w:ascii="Arial" w:hAnsi="Arial"/>
                <w:sz w:val="18"/>
              </w:rPr>
              <w:t>Permitir cancelar un pedido propio únicamente mientras siga pendiente</w:t>
            </w:r>
          </w:p>
        </w:tc>
      </w:tr>
      <w:tr>
        <w:trPr>
          <w:cantSplit/>
        </w:trPr>
        <w:tc>
          <w:tcPr>
            <w:tcW w:type="dxa" w:w="1872"/>
            <w:vAlign w:val="center"/>
            <w:shd w:fill="F2F4F6"/>
          </w:tcPr>
          <w:p>
            <w:pPr>
              <w:spacing w:after="40" w:before="20" w:line="254" w:lineRule="auto"/>
              <w:jc w:val="center"/>
            </w:pPr>
            <w:r>
              <w:rPr>
                <w:rFonts w:ascii="Arial" w:hAnsi="Arial"/>
                <w:sz w:val="18"/>
              </w:rPr>
              <w:t>RF-10</w:t>
            </w:r>
          </w:p>
        </w:tc>
        <w:tc>
          <w:tcPr>
            <w:tcW w:type="dxa" w:w="7766"/>
            <w:vAlign w:val="center"/>
            <w:shd w:fill="F2F4F6"/>
          </w:tcPr>
          <w:p>
            <w:pPr>
              <w:spacing w:after="40" w:before="20" w:line="254" w:lineRule="auto"/>
            </w:pPr>
            <w:r>
              <w:rPr>
                <w:rFonts w:ascii="Arial" w:hAnsi="Arial"/>
                <w:sz w:val="18"/>
              </w:rPr>
              <w:t>Ofrecer instalación PWA cuando el navegador la admita y mostrar una pantalla genérica al perder conexión</w:t>
            </w:r>
          </w:p>
        </w:tc>
      </w:tr>
      <w:tr>
        <w:trPr>
          <w:cantSplit/>
        </w:trPr>
        <w:tc>
          <w:tcPr>
            <w:tcW w:type="dxa" w:w="1872"/>
            <w:vAlign w:val="center"/>
            <w:shd w:fill="FFFFFF"/>
          </w:tcPr>
          <w:p>
            <w:pPr>
              <w:spacing w:after="40" w:before="20" w:line="254" w:lineRule="auto"/>
              <w:jc w:val="center"/>
            </w:pPr>
            <w:r>
              <w:rPr>
                <w:rFonts w:ascii="Arial" w:hAnsi="Arial"/>
                <w:sz w:val="18"/>
              </w:rPr>
              <w:t>RF-11</w:t>
            </w:r>
          </w:p>
        </w:tc>
        <w:tc>
          <w:tcPr>
            <w:tcW w:type="dxa" w:w="7766"/>
            <w:vAlign w:val="center"/>
            <w:shd w:fill="FFFFFF"/>
          </w:tcPr>
          <w:p>
            <w:pPr>
              <w:spacing w:after="40" w:before="20" w:line="254" w:lineRule="auto"/>
            </w:pPr>
            <w:r>
              <w:rPr>
                <w:rFonts w:ascii="Arial" w:hAnsi="Arial"/>
                <w:sz w:val="18"/>
              </w:rPr>
              <w:t>Permitir registro de estudiantes y recuperación de contraseña en el entorno de demostración; revisar sus controles de seguridad</w:t>
            </w:r>
          </w:p>
        </w:tc>
      </w:tr>
    </w:tbl>
    <w:p>
      <w:pPr>
        <w:spacing w:after="80" w:line="40" w:lineRule="exact"/>
      </w:pPr>
      <w:r>
        <w:rPr>
          <w:sz w:val="4"/>
        </w:rPr>
      </w:r>
    </w:p>
    <w:p>
      <w:r>
        <w:t>Los requisitos se obtuvieron del análisis del código y del funcionamiento actual. Su validación corresponde al equipo y al Product Owner.</w:t>
      </w:r>
    </w:p>
    <w:p>
      <w:pPr>
        <w:pStyle w:val="Heading2"/>
      </w:pPr>
      <w:r>
        <w:t>Reglas de negocio</w:t>
      </w:r>
    </w:p>
    <w:p>
      <w:pPr>
        <w:pStyle w:val="ListBullet"/>
      </w:pPr>
      <w:r>
        <w:t>RN-01: solo el administrador modifica el catálogo; empleados y estudiantes reciben rechazo si intentan acceder a esas operaciones.</w:t>
      </w:r>
    </w:p>
    <w:p>
      <w:pPr>
        <w:pStyle w:val="ListBullet"/>
      </w:pPr>
      <w:r>
        <w:t>RN-02: un pedido requiere al menos un producto válido; se comprueba nuevamente su actividad y disponibilidad al confirmar.</w:t>
      </w:r>
    </w:p>
    <w:p>
      <w:pPr>
        <w:pStyle w:val="ListBullet"/>
      </w:pPr>
      <w:r>
        <w:t>RN-03: precios y totales proceden de la base de datos, no de precios enviados por el cliente.</w:t>
      </w:r>
    </w:p>
    <w:p>
      <w:pPr>
        <w:pStyle w:val="ListBullet"/>
      </w:pPr>
      <w:r>
        <w:t>RN-04: el pedido entregado es inmutable; un pedido en preparación ya no puede cancelarse por el estudiante.</w:t>
      </w:r>
    </w:p>
    <w:p>
      <w:pPr>
        <w:pStyle w:val="ListBullet"/>
      </w:pPr>
      <w:r>
        <w:t>RN-05: cada estudiante consulta/cancela únicamente pedidos propios.</w:t>
      </w:r>
    </w:p>
    <w:p>
      <w:pPr>
        <w:pStyle w:val="ListBullet"/>
      </w:pPr>
      <w:r>
        <w:t>RN-06: Disponible y Activo son propiedades diferentes. Un producto agotado puede seguir visible; uno inactivo queda fuera del catálogo del estudiante.</w:t>
      </w:r>
    </w:p>
    <w:p>
      <w:pPr>
        <w:pStyle w:val="ListBullet"/>
      </w:pPr>
      <w:r>
        <w:t>RN-07: la PWA requiere conexión para consultar datos y enviar pedidos. No hay cola de pedidos offline ni reenvío automático.</w:t>
      </w:r>
    </w:p>
    <w:p>
      <w:pPr>
        <w:pStyle w:val="Heading2"/>
      </w:pPr>
      <w:r>
        <w:t>Criterios y políticas de calidad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944"/>
        <w:gridCol w:w="3672"/>
        <w:gridCol w:w="4022"/>
      </w:tblGrid>
      <w:tr>
        <w:trPr>
          <w:cantSplit/>
          <w:tblHeader/>
        </w:trPr>
        <w:tc>
          <w:tcPr>
            <w:tcW w:type="dxa" w:w="1944"/>
            <w:vAlign w:val="center"/>
            <w:shd w:fill="303841"/>
          </w:tcPr>
          <w:p>
            <w:pPr>
              <w:keepNext/>
              <w:spacing w:after="40" w:before="20" w:line="254" w:lineRule="auto"/>
              <w:jc w:val="center"/>
            </w:pPr>
            <w:r>
              <w:rPr>
                <w:rFonts w:ascii="Arial" w:hAnsi="Arial"/>
                <w:b/>
                <w:color w:val="FFFFFF"/>
                <w:sz w:val="18"/>
              </w:rPr>
              <w:t>Característica</w:t>
            </w:r>
          </w:p>
        </w:tc>
        <w:tc>
          <w:tcPr>
            <w:tcW w:type="dxa" w:w="3672"/>
            <w:vAlign w:val="center"/>
            <w:shd w:fill="303841"/>
          </w:tcPr>
          <w:p>
            <w:pPr>
              <w:keepNext/>
              <w:spacing w:after="40" w:before="20" w:line="254" w:lineRule="auto"/>
            </w:pPr>
            <w:r>
              <w:rPr>
                <w:rFonts w:ascii="Arial" w:hAnsi="Arial"/>
                <w:b/>
                <w:color w:val="FFFFFF"/>
                <w:sz w:val="18"/>
              </w:rPr>
              <w:t>Criterio de evaluación</w:t>
            </w:r>
          </w:p>
        </w:tc>
        <w:tc>
          <w:tcPr>
            <w:tcW w:type="dxa" w:w="4022"/>
            <w:vAlign w:val="center"/>
            <w:shd w:fill="303841"/>
          </w:tcPr>
          <w:p>
            <w:pPr>
              <w:keepNext/>
              <w:spacing w:after="40" w:before="20" w:line="254" w:lineRule="auto"/>
            </w:pPr>
            <w:r>
              <w:rPr>
                <w:rFonts w:ascii="Arial" w:hAnsi="Arial"/>
                <w:b/>
                <w:color w:val="FFFFFF"/>
                <w:sz w:val="18"/>
              </w:rPr>
              <w:t>Cómo observarlo</w:t>
            </w:r>
          </w:p>
        </w:tc>
      </w:tr>
      <w:tr>
        <w:trPr>
          <w:cantSplit/>
        </w:trPr>
        <w:tc>
          <w:tcPr>
            <w:tcW w:type="dxa" w:w="1944"/>
            <w:vAlign w:val="center"/>
            <w:shd w:fill="FFFFFF"/>
          </w:tcPr>
          <w:p>
            <w:pPr>
              <w:spacing w:after="40" w:before="20" w:line="254" w:lineRule="auto"/>
              <w:jc w:val="center"/>
            </w:pPr>
            <w:r>
              <w:rPr>
                <w:rFonts w:ascii="Arial" w:hAnsi="Arial"/>
                <w:sz w:val="18"/>
              </w:rPr>
              <w:t>Funcionalidad</w:t>
            </w:r>
          </w:p>
        </w:tc>
        <w:tc>
          <w:tcPr>
            <w:tcW w:type="dxa" w:w="3672"/>
            <w:vAlign w:val="center"/>
            <w:shd w:fill="FFFFFF"/>
          </w:tcPr>
          <w:p>
            <w:pPr>
              <w:spacing w:after="40" w:before="20" w:line="254" w:lineRule="auto"/>
            </w:pPr>
            <w:r>
              <w:rPr>
                <w:rFonts w:ascii="Arial" w:hAnsi="Arial"/>
                <w:sz w:val="18"/>
              </w:rPr>
              <w:t>Los recorridos críticos cumplen sus criterios de aceptación</w:t>
            </w:r>
          </w:p>
        </w:tc>
        <w:tc>
          <w:tcPr>
            <w:tcW w:type="dxa" w:w="4022"/>
            <w:vAlign w:val="center"/>
            <w:shd w:fill="FFFFFF"/>
          </w:tcPr>
          <w:p>
            <w:pPr>
              <w:spacing w:after="40" w:before="20" w:line="254" w:lineRule="auto"/>
            </w:pPr>
            <w:r>
              <w:rPr>
                <w:rFonts w:ascii="Arial" w:hAnsi="Arial"/>
                <w:sz w:val="18"/>
              </w:rPr>
              <w:t>Casos y aserciones vinculados a historias</w:t>
            </w:r>
          </w:p>
        </w:tc>
      </w:tr>
      <w:tr>
        <w:trPr>
          <w:cantSplit/>
        </w:trPr>
        <w:tc>
          <w:tcPr>
            <w:tcW w:type="dxa" w:w="1944"/>
            <w:vAlign w:val="center"/>
            <w:shd w:fill="F2F4F6"/>
          </w:tcPr>
          <w:p>
            <w:pPr>
              <w:spacing w:after="40" w:before="20" w:line="254" w:lineRule="auto"/>
            </w:pPr>
            <w:r>
              <w:rPr>
                <w:rFonts w:ascii="Arial" w:hAnsi="Arial"/>
                <w:sz w:val="18"/>
              </w:rPr>
              <w:t>Seguridad y privacidad</w:t>
            </w:r>
          </w:p>
        </w:tc>
        <w:tc>
          <w:tcPr>
            <w:tcW w:type="dxa" w:w="3672"/>
            <w:vAlign w:val="center"/>
            <w:shd w:fill="F2F4F6"/>
          </w:tcPr>
          <w:p>
            <w:pPr>
              <w:spacing w:after="40" w:before="20" w:line="254" w:lineRule="auto"/>
            </w:pPr>
            <w:r>
              <w:rPr>
                <w:rFonts w:ascii="Arial" w:hAnsi="Arial"/>
                <w:sz w:val="18"/>
              </w:rPr>
              <w:t>Un estudiante no accede a pedidos ajenos; no se almacenan páginas privadas en el caché PWA</w:t>
            </w:r>
          </w:p>
        </w:tc>
        <w:tc>
          <w:tcPr>
            <w:tcW w:type="dxa" w:w="4022"/>
            <w:vAlign w:val="center"/>
            <w:shd w:fill="F2F4F6"/>
          </w:tcPr>
          <w:p>
            <w:pPr>
              <w:spacing w:after="40" w:before="20" w:line="254" w:lineRule="auto"/>
            </w:pPr>
            <w:r>
              <w:rPr>
                <w:rFonts w:ascii="Arial" w:hAnsi="Arial"/>
                <w:sz w:val="18"/>
              </w:rPr>
              <w:t>Pruebas de permisos y revisión de Cache Storage</w:t>
            </w:r>
          </w:p>
        </w:tc>
      </w:tr>
      <w:tr>
        <w:trPr>
          <w:cantSplit/>
        </w:trPr>
        <w:tc>
          <w:tcPr>
            <w:tcW w:type="dxa" w:w="1944"/>
            <w:vAlign w:val="center"/>
            <w:shd w:fill="FFFFFF"/>
          </w:tcPr>
          <w:p>
            <w:pPr>
              <w:spacing w:after="40" w:before="20" w:line="254" w:lineRule="auto"/>
              <w:jc w:val="center"/>
            </w:pPr>
            <w:r>
              <w:rPr>
                <w:rFonts w:ascii="Arial" w:hAnsi="Arial"/>
                <w:sz w:val="18"/>
              </w:rPr>
              <w:t>Usabilidad</w:t>
            </w:r>
          </w:p>
        </w:tc>
        <w:tc>
          <w:tcPr>
            <w:tcW w:type="dxa" w:w="3672"/>
            <w:vAlign w:val="center"/>
            <w:shd w:fill="FFFFFF"/>
          </w:tcPr>
          <w:p>
            <w:pPr>
              <w:spacing w:after="40" w:before="20" w:line="254" w:lineRule="auto"/>
            </w:pPr>
            <w:r>
              <w:rPr>
                <w:rFonts w:ascii="Arial" w:hAnsi="Arial"/>
                <w:sz w:val="18"/>
              </w:rPr>
              <w:t>Flujos principales utilizables a 360 y 390 px; confirmaciones claras y operables con teclado</w:t>
            </w:r>
          </w:p>
        </w:tc>
        <w:tc>
          <w:tcPr>
            <w:tcW w:type="dxa" w:w="4022"/>
            <w:vAlign w:val="center"/>
            <w:shd w:fill="FFFFFF"/>
          </w:tcPr>
          <w:p>
            <w:pPr>
              <w:spacing w:after="40" w:before="20" w:line="254" w:lineRule="auto"/>
            </w:pPr>
            <w:r>
              <w:rPr>
                <w:rFonts w:ascii="Arial" w:hAnsi="Arial"/>
                <w:sz w:val="18"/>
              </w:rPr>
              <w:t>Exploración móvil, teclado, capturas y registro de hallazgos</w:t>
            </w:r>
          </w:p>
        </w:tc>
      </w:tr>
      <w:tr>
        <w:trPr>
          <w:cantSplit/>
        </w:trPr>
        <w:tc>
          <w:tcPr>
            <w:tcW w:type="dxa" w:w="1944"/>
            <w:vAlign w:val="center"/>
            <w:shd w:fill="F2F4F6"/>
          </w:tcPr>
          <w:p>
            <w:pPr>
              <w:spacing w:after="40" w:before="20" w:line="254" w:lineRule="auto"/>
              <w:jc w:val="center"/>
            </w:pPr>
            <w:r>
              <w:rPr>
                <w:rFonts w:ascii="Arial" w:hAnsi="Arial"/>
                <w:sz w:val="18"/>
              </w:rPr>
              <w:t>Fiabilidad</w:t>
            </w:r>
          </w:p>
        </w:tc>
        <w:tc>
          <w:tcPr>
            <w:tcW w:type="dxa" w:w="3672"/>
            <w:vAlign w:val="center"/>
            <w:shd w:fill="F2F4F6"/>
          </w:tcPr>
          <w:p>
            <w:pPr>
              <w:spacing w:after="40" w:before="20" w:line="254" w:lineRule="auto"/>
            </w:pPr>
            <w:r>
              <w:rPr>
                <w:rFonts w:ascii="Arial" w:hAnsi="Arial"/>
                <w:sz w:val="18"/>
              </w:rPr>
              <w:t>Cancelar una confirmación no ejecuta la operación; un fallo de conexión no se presenta como éxito</w:t>
            </w:r>
          </w:p>
        </w:tc>
        <w:tc>
          <w:tcPr>
            <w:tcW w:type="dxa" w:w="4022"/>
            <w:vAlign w:val="center"/>
            <w:shd w:fill="F2F4F6"/>
          </w:tcPr>
          <w:p>
            <w:pPr>
              <w:spacing w:after="40" w:before="20" w:line="254" w:lineRule="auto"/>
            </w:pPr>
            <w:r>
              <w:rPr>
                <w:rFonts w:ascii="Arial" w:hAnsi="Arial"/>
                <w:sz w:val="18"/>
              </w:rPr>
              <w:t>Casos de cancelación y pérdida de red</w:t>
            </w:r>
          </w:p>
        </w:tc>
      </w:tr>
      <w:tr>
        <w:trPr>
          <w:cantSplit/>
        </w:trPr>
        <w:tc>
          <w:tcPr>
            <w:tcW w:type="dxa" w:w="1944"/>
            <w:vAlign w:val="center"/>
            <w:shd w:fill="FFFFFF"/>
          </w:tcPr>
          <w:p>
            <w:pPr>
              <w:spacing w:after="40" w:before="20" w:line="254" w:lineRule="auto"/>
              <w:jc w:val="center"/>
            </w:pPr>
            <w:r>
              <w:rPr>
                <w:rFonts w:ascii="Arial" w:hAnsi="Arial"/>
                <w:sz w:val="18"/>
              </w:rPr>
              <w:t>Mantenibilidad</w:t>
            </w:r>
          </w:p>
        </w:tc>
        <w:tc>
          <w:tcPr>
            <w:tcW w:type="dxa" w:w="3672"/>
            <w:vAlign w:val="center"/>
            <w:shd w:fill="FFFFFF"/>
          </w:tcPr>
          <w:p>
            <w:pPr>
              <w:spacing w:after="40" w:before="20" w:line="254" w:lineRule="auto"/>
            </w:pPr>
            <w:r>
              <w:rPr>
                <w:rFonts w:ascii="Arial" w:hAnsi="Arial"/>
                <w:sz w:val="18"/>
              </w:rPr>
              <w:t>Cada defecto corregido tiene una prueba de regresión relevante</w:t>
            </w:r>
          </w:p>
        </w:tc>
        <w:tc>
          <w:tcPr>
            <w:tcW w:type="dxa" w:w="4022"/>
            <w:vAlign w:val="center"/>
            <w:shd w:fill="FFFFFF"/>
          </w:tcPr>
          <w:p>
            <w:pPr>
              <w:spacing w:after="40" w:before="20" w:line="254" w:lineRule="auto"/>
            </w:pPr>
            <w:r>
              <w:rPr>
                <w:rFonts w:ascii="Arial" w:hAnsi="Arial"/>
                <w:sz w:val="18"/>
              </w:rPr>
              <w:t>Revisión de cambios y suite automatizada</w:t>
            </w:r>
          </w:p>
        </w:tc>
      </w:tr>
      <w:tr>
        <w:trPr>
          <w:cantSplit/>
        </w:trPr>
        <w:tc>
          <w:tcPr>
            <w:tcW w:type="dxa" w:w="1944"/>
            <w:vAlign w:val="center"/>
            <w:shd w:fill="F2F4F6"/>
          </w:tcPr>
          <w:p>
            <w:pPr>
              <w:spacing w:after="40" w:before="20" w:line="254" w:lineRule="auto"/>
              <w:jc w:val="center"/>
            </w:pPr>
            <w:r>
              <w:rPr>
                <w:rFonts w:ascii="Arial" w:hAnsi="Arial"/>
                <w:sz w:val="18"/>
              </w:rPr>
              <w:t>Compatibilidad</w:t>
            </w:r>
          </w:p>
        </w:tc>
        <w:tc>
          <w:tcPr>
            <w:tcW w:type="dxa" w:w="3672"/>
            <w:vAlign w:val="center"/>
            <w:shd w:fill="F2F4F6"/>
          </w:tcPr>
          <w:p>
            <w:pPr>
              <w:spacing w:after="40" w:before="20" w:line="254" w:lineRule="auto"/>
            </w:pPr>
            <w:r>
              <w:rPr>
                <w:rFonts w:ascii="Arial" w:hAnsi="Arial"/>
                <w:sz w:val="18"/>
              </w:rPr>
              <w:t>Validación en los navegadores y dispositivos declarados en el alcance</w:t>
            </w:r>
          </w:p>
        </w:tc>
        <w:tc>
          <w:tcPr>
            <w:tcW w:type="dxa" w:w="4022"/>
            <w:vAlign w:val="center"/>
            <w:shd w:fill="F2F4F6"/>
          </w:tcPr>
          <w:p>
            <w:pPr>
              <w:spacing w:after="40" w:before="20" w:line="254" w:lineRule="auto"/>
            </w:pPr>
            <w:r>
              <w:rPr>
                <w:rFonts w:ascii="Arial" w:hAnsi="Arial"/>
                <w:sz w:val="18"/>
              </w:rPr>
              <w:t>Matriz de navegador, versión y resultado real</w:t>
            </w:r>
          </w:p>
        </w:tc>
      </w:tr>
    </w:tbl>
    <w:p>
      <w:pPr>
        <w:spacing w:after="80" w:line="40" w:lineRule="exact"/>
      </w:pPr>
      <w:r>
        <w:rPr>
          <w:sz w:val="4"/>
        </w:rPr>
      </w:r>
    </w:p>
    <w:p>
      <w:r>
        <w:t>Los modelos de Garvin, McCall e ISO/IEC 9126, junto con la referencia ISO/IEC 25010 presentada en clase, orientan el análisis académico. El apartado siguiente relaciona estos marcos con UniFood. Cada evaluación deberá identificar el modelo y la edición utilizados.</w:t>
      </w:r>
    </w:p>
    <w:p>
      <w:r>
        <w:t>Políticas: revisar cambios por otro integrante cuando sea posible; registrar defectos; no publicar .env ni la base local; vincular requisitos con pruebas; documentar resultados reales; reejecutar regresiones después de cambios; revisar criterios antes de declarar una historia terminada.</w:t>
      </w:r>
    </w:p>
    <w:p>
      <w:pPr>
        <w:pStyle w:val="Heading2"/>
      </w:pPr>
      <w:r>
        <w:t>Modelos de calidad aplicados</w:t>
      </w:r>
    </w:p>
    <w:p>
      <w:r>
        <w:t>Los modelos trabajados en la unidad 1 permiten organizar preguntas sobre el proceso y el producto. En UniFood se emplean para definir condiciones observables y orientar la revisión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2016"/>
        <w:gridCol w:w="4104"/>
        <w:gridCol w:w="3518"/>
      </w:tblGrid>
      <w:tr>
        <w:trPr>
          <w:cantSplit/>
          <w:tblHeader/>
        </w:trPr>
        <w:tc>
          <w:tcPr>
            <w:tcW w:type="dxa" w:w="2016"/>
            <w:vAlign w:val="center"/>
            <w:shd w:fill="303841"/>
          </w:tcPr>
          <w:p>
            <w:pPr>
              <w:keepNext/>
              <w:spacing w:after="40" w:before="20" w:line="254" w:lineRule="auto"/>
              <w:jc w:val="center"/>
            </w:pPr>
            <w:r>
              <w:rPr>
                <w:rFonts w:ascii="Arial" w:hAnsi="Arial"/>
                <w:b/>
                <w:color w:val="FFFFFF"/>
                <w:sz w:val="18"/>
              </w:rPr>
              <w:t>Marco de referencia</w:t>
            </w:r>
          </w:p>
        </w:tc>
        <w:tc>
          <w:tcPr>
            <w:tcW w:type="dxa" w:w="4104"/>
            <w:vAlign w:val="center"/>
            <w:shd w:fill="303841"/>
          </w:tcPr>
          <w:p>
            <w:pPr>
              <w:keepNext/>
              <w:spacing w:after="40" w:before="20" w:line="254" w:lineRule="auto"/>
            </w:pPr>
            <w:r>
              <w:rPr>
                <w:rFonts w:ascii="Arial" w:hAnsi="Arial"/>
                <w:b/>
                <w:color w:val="FFFFFF"/>
                <w:sz w:val="18"/>
              </w:rPr>
              <w:t>Aplicación al proyecto</w:t>
            </w:r>
          </w:p>
        </w:tc>
        <w:tc>
          <w:tcPr>
            <w:tcW w:type="dxa" w:w="3518"/>
            <w:vAlign w:val="center"/>
            <w:shd w:fill="303841"/>
          </w:tcPr>
          <w:p>
            <w:pPr>
              <w:keepNext/>
              <w:spacing w:after="40" w:before="20" w:line="254" w:lineRule="auto"/>
            </w:pPr>
            <w:r>
              <w:rPr>
                <w:rFonts w:ascii="Arial" w:hAnsi="Arial"/>
                <w:b/>
                <w:color w:val="FFFFFF"/>
                <w:sz w:val="18"/>
              </w:rPr>
              <w:t>Evidencia esperada</w:t>
            </w:r>
          </w:p>
        </w:tc>
      </w:tr>
      <w:tr>
        <w:trPr>
          <w:cantSplit/>
        </w:trPr>
        <w:tc>
          <w:tcPr>
            <w:tcW w:type="dxa" w:w="2016"/>
            <w:vAlign w:val="center"/>
            <w:shd w:fill="FFFFFF"/>
          </w:tcPr>
          <w:p>
            <w:pPr>
              <w:spacing w:after="40" w:before="20" w:line="254" w:lineRule="auto"/>
            </w:pPr>
            <w:r>
              <w:rPr>
                <w:rFonts w:ascii="Arial" w:hAnsi="Arial"/>
                <w:sz w:val="18"/>
              </w:rPr>
              <w:t>Perspectivas de Garvin</w:t>
            </w:r>
          </w:p>
        </w:tc>
        <w:tc>
          <w:tcPr>
            <w:tcW w:type="dxa" w:w="4104"/>
            <w:vAlign w:val="center"/>
            <w:shd w:fill="FFFFFF"/>
          </w:tcPr>
          <w:p>
            <w:pPr>
              <w:spacing w:after="40" w:before="20" w:line="254" w:lineRule="auto"/>
            </w:pPr>
            <w:r>
              <w:rPr>
                <w:rFonts w:ascii="Arial" w:hAnsi="Arial"/>
                <w:sz w:val="18"/>
              </w:rPr>
              <w:t>Usuario: pedir sin confusión. Fabricante: cumplir requisitos. Producto: comportamiento comprobable. Valor: utilidad para la tienda y el estudiante.</w:t>
            </w:r>
          </w:p>
        </w:tc>
        <w:tc>
          <w:tcPr>
            <w:tcW w:type="dxa" w:w="3518"/>
            <w:vAlign w:val="center"/>
            <w:shd w:fill="FFFFFF"/>
          </w:tcPr>
          <w:p>
            <w:pPr>
              <w:spacing w:after="40" w:before="20" w:line="254" w:lineRule="auto"/>
            </w:pPr>
            <w:r>
              <w:rPr>
                <w:rFonts w:ascii="Arial" w:hAnsi="Arial"/>
                <w:sz w:val="18"/>
              </w:rPr>
              <w:t>Revisión de experiencia, criterios de aceptación y trazabilidad.</w:t>
            </w:r>
          </w:p>
        </w:tc>
      </w:tr>
      <w:tr>
        <w:trPr>
          <w:cantSplit/>
        </w:trPr>
        <w:tc>
          <w:tcPr>
            <w:tcW w:type="dxa" w:w="2016"/>
            <w:vAlign w:val="center"/>
            <w:shd w:fill="F2F4F6"/>
          </w:tcPr>
          <w:p>
            <w:pPr>
              <w:spacing w:after="40" w:before="20" w:line="254" w:lineRule="auto"/>
              <w:jc w:val="center"/>
            </w:pPr>
            <w:r>
              <w:rPr>
                <w:rFonts w:ascii="Arial" w:hAnsi="Arial"/>
                <w:sz w:val="18"/>
              </w:rPr>
              <w:t>Factores de McCall</w:t>
            </w:r>
          </w:p>
        </w:tc>
        <w:tc>
          <w:tcPr>
            <w:tcW w:type="dxa" w:w="4104"/>
            <w:vAlign w:val="center"/>
            <w:shd w:fill="F2F4F6"/>
          </w:tcPr>
          <w:p>
            <w:pPr>
              <w:spacing w:after="40" w:before="20" w:line="254" w:lineRule="auto"/>
            </w:pPr>
            <w:r>
              <w:rPr>
                <w:rFonts w:ascii="Arial" w:hAnsi="Arial"/>
                <w:sz w:val="18"/>
              </w:rPr>
              <w:t>Corrección de totales, fiabilidad del pedido, integridad del acceso y facilidad de mantenimiento.</w:t>
            </w:r>
          </w:p>
        </w:tc>
        <w:tc>
          <w:tcPr>
            <w:tcW w:type="dxa" w:w="3518"/>
            <w:vAlign w:val="center"/>
            <w:shd w:fill="F2F4F6"/>
          </w:tcPr>
          <w:p>
            <w:pPr>
              <w:spacing w:after="40" w:before="20" w:line="254" w:lineRule="auto"/>
            </w:pPr>
            <w:r>
              <w:rPr>
                <w:rFonts w:ascii="Arial" w:hAnsi="Arial"/>
                <w:sz w:val="18"/>
              </w:rPr>
              <w:t>Pruebas de cálculo y permisos, regresión y revisión de cambios.</w:t>
            </w:r>
          </w:p>
        </w:tc>
      </w:tr>
      <w:tr>
        <w:trPr>
          <w:cantSplit/>
        </w:trPr>
        <w:tc>
          <w:tcPr>
            <w:tcW w:type="dxa" w:w="2016"/>
            <w:vAlign w:val="center"/>
            <w:shd w:fill="FFFFFF"/>
          </w:tcPr>
          <w:p>
            <w:pPr>
              <w:spacing w:after="40" w:before="20" w:line="254" w:lineRule="auto"/>
              <w:jc w:val="center"/>
            </w:pPr>
            <w:r>
              <w:rPr>
                <w:rFonts w:ascii="Arial" w:hAnsi="Arial"/>
                <w:sz w:val="18"/>
              </w:rPr>
              <w:t>ISO IEC 9126</w:t>
            </w:r>
          </w:p>
        </w:tc>
        <w:tc>
          <w:tcPr>
            <w:tcW w:type="dxa" w:w="4104"/>
            <w:vAlign w:val="center"/>
            <w:shd w:fill="FFFFFF"/>
          </w:tcPr>
          <w:p>
            <w:pPr>
              <w:spacing w:after="40" w:before="20" w:line="254" w:lineRule="auto"/>
            </w:pPr>
            <w:r>
              <w:rPr>
                <w:rFonts w:ascii="Arial" w:hAnsi="Arial"/>
                <w:sz w:val="18"/>
              </w:rPr>
              <w:t>Analizar funcionalidad, fiabilidad, usabilidad, eficiencia, mantenibilidad y portabilidad conforme al marco estudiado.</w:t>
            </w:r>
          </w:p>
        </w:tc>
        <w:tc>
          <w:tcPr>
            <w:tcW w:type="dxa" w:w="3518"/>
            <w:vAlign w:val="center"/>
            <w:shd w:fill="FFFFFF"/>
          </w:tcPr>
          <w:p>
            <w:pPr>
              <w:spacing w:after="40" w:before="20" w:line="254" w:lineRule="auto"/>
            </w:pPr>
            <w:r>
              <w:rPr>
                <w:rFonts w:ascii="Arial" w:hAnsi="Arial"/>
                <w:sz w:val="18"/>
              </w:rPr>
              <w:t>Casos funcionales y no funcionales con resultados y limitaciones declarados.</w:t>
            </w:r>
          </w:p>
        </w:tc>
      </w:tr>
      <w:tr>
        <w:trPr>
          <w:cantSplit/>
        </w:trPr>
        <w:tc>
          <w:tcPr>
            <w:tcW w:type="dxa" w:w="2016"/>
            <w:vAlign w:val="center"/>
            <w:shd w:fill="F2F4F6"/>
          </w:tcPr>
          <w:p>
            <w:pPr>
              <w:spacing w:after="40" w:before="20" w:line="254" w:lineRule="auto"/>
            </w:pPr>
            <w:r>
              <w:rPr>
                <w:rFonts w:ascii="Arial" w:hAnsi="Arial"/>
                <w:sz w:val="18"/>
              </w:rPr>
              <w:t>Referencia ISO IEC 25010 de clase</w:t>
            </w:r>
          </w:p>
        </w:tc>
        <w:tc>
          <w:tcPr>
            <w:tcW w:type="dxa" w:w="4104"/>
            <w:vAlign w:val="center"/>
            <w:shd w:fill="F2F4F6"/>
          </w:tcPr>
          <w:p>
            <w:pPr>
              <w:spacing w:after="40" w:before="20" w:line="254" w:lineRule="auto"/>
            </w:pPr>
            <w:r>
              <w:rPr>
                <w:rFonts w:ascii="Arial" w:hAnsi="Arial"/>
                <w:sz w:val="18"/>
              </w:rPr>
              <w:t>Distinguir características del producto y del proceso, conservando la edición utilizada en los materiales.</w:t>
            </w:r>
          </w:p>
        </w:tc>
        <w:tc>
          <w:tcPr>
            <w:tcW w:type="dxa" w:w="3518"/>
            <w:vAlign w:val="center"/>
            <w:shd w:fill="F2F4F6"/>
          </w:tcPr>
          <w:p>
            <w:pPr>
              <w:spacing w:after="40" w:before="20" w:line="254" w:lineRule="auto"/>
            </w:pPr>
            <w:r>
              <w:rPr>
                <w:rFonts w:ascii="Arial" w:hAnsi="Arial"/>
                <w:sz w:val="18"/>
              </w:rPr>
              <w:t>Matriz de calidad con criterio, método de evaluación y evidencia.</w:t>
            </w:r>
          </w:p>
        </w:tc>
      </w:tr>
    </w:tbl>
    <w:p>
      <w:pPr>
        <w:spacing w:after="80" w:line="40" w:lineRule="exact"/>
      </w:pPr>
      <w:r>
        <w:rPr>
          <w:sz w:val="4"/>
        </w:rPr>
      </w:r>
    </w:p>
    <w:p>
      <w:r>
        <w:t>Estos marcos se utilizan como referencias académicas. La aprobación de pruebas no constituye una certificación de conformidad con una norma.</w:t>
      </w:r>
    </w:p>
    <w:p>
      <w:pPr>
        <w:pStyle w:val="Heading2"/>
      </w:pPr>
      <w:r>
        <w:t>SDLC y STLC aplicados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944"/>
        <w:gridCol w:w="3672"/>
        <w:gridCol w:w="4022"/>
      </w:tblGrid>
      <w:tr>
        <w:trPr>
          <w:cantSplit/>
          <w:tblHeader/>
        </w:trPr>
        <w:tc>
          <w:tcPr>
            <w:tcW w:type="dxa" w:w="1944"/>
            <w:vAlign w:val="center"/>
            <w:shd w:fill="303841"/>
          </w:tcPr>
          <w:p>
            <w:pPr>
              <w:keepNext/>
              <w:spacing w:after="40" w:before="20" w:line="254" w:lineRule="auto"/>
              <w:jc w:val="center"/>
            </w:pPr>
            <w:r>
              <w:rPr>
                <w:rFonts w:ascii="Arial" w:hAnsi="Arial"/>
                <w:b/>
                <w:color w:val="FFFFFF"/>
                <w:sz w:val="18"/>
              </w:rPr>
              <w:t>Desarrollo (SDLC)</w:t>
            </w:r>
          </w:p>
        </w:tc>
        <w:tc>
          <w:tcPr>
            <w:tcW w:type="dxa" w:w="3672"/>
            <w:vAlign w:val="center"/>
            <w:shd w:fill="303841"/>
          </w:tcPr>
          <w:p>
            <w:pPr>
              <w:keepNext/>
              <w:spacing w:after="40" w:before="20" w:line="254" w:lineRule="auto"/>
            </w:pPr>
            <w:r>
              <w:rPr>
                <w:rFonts w:ascii="Arial" w:hAnsi="Arial"/>
                <w:b/>
                <w:color w:val="FFFFFF"/>
                <w:sz w:val="18"/>
              </w:rPr>
              <w:t>Actividad de pruebas/calidad (STLC)</w:t>
            </w:r>
          </w:p>
        </w:tc>
        <w:tc>
          <w:tcPr>
            <w:tcW w:type="dxa" w:w="4022"/>
            <w:vAlign w:val="center"/>
            <w:shd w:fill="303841"/>
          </w:tcPr>
          <w:p>
            <w:pPr>
              <w:keepNext/>
              <w:spacing w:after="40" w:before="20" w:line="254" w:lineRule="auto"/>
            </w:pPr>
            <w:r>
              <w:rPr>
                <w:rFonts w:ascii="Arial" w:hAnsi="Arial"/>
                <w:b/>
                <w:color w:val="FFFFFF"/>
                <w:sz w:val="18"/>
              </w:rPr>
              <w:t>Evidencia</w:t>
            </w:r>
          </w:p>
        </w:tc>
      </w:tr>
      <w:tr>
        <w:trPr>
          <w:cantSplit/>
        </w:trPr>
        <w:tc>
          <w:tcPr>
            <w:tcW w:type="dxa" w:w="1944"/>
            <w:vAlign w:val="center"/>
            <w:shd w:fill="FFFFFF"/>
          </w:tcPr>
          <w:p>
            <w:pPr>
              <w:spacing w:after="40" w:before="20" w:line="254" w:lineRule="auto"/>
              <w:jc w:val="center"/>
            </w:pPr>
            <w:r>
              <w:rPr>
                <w:rFonts w:ascii="Arial" w:hAnsi="Arial"/>
                <w:sz w:val="18"/>
              </w:rPr>
              <w:t>Requisitos</w:t>
            </w:r>
          </w:p>
        </w:tc>
        <w:tc>
          <w:tcPr>
            <w:tcW w:type="dxa" w:w="3672"/>
            <w:vAlign w:val="center"/>
            <w:shd w:fill="FFFFFF"/>
          </w:tcPr>
          <w:p>
            <w:pPr>
              <w:spacing w:after="40" w:before="20" w:line="254" w:lineRule="auto"/>
            </w:pPr>
            <w:r>
              <w:rPr>
                <w:rFonts w:ascii="Arial" w:hAnsi="Arial"/>
                <w:sz w:val="18"/>
              </w:rPr>
              <w:t>Revisar claridad, riesgos y condiciones de prueba</w:t>
            </w:r>
          </w:p>
        </w:tc>
        <w:tc>
          <w:tcPr>
            <w:tcW w:type="dxa" w:w="4022"/>
            <w:vAlign w:val="center"/>
            <w:shd w:fill="FFFFFF"/>
          </w:tcPr>
          <w:p>
            <w:pPr>
              <w:spacing w:after="40" w:before="20" w:line="254" w:lineRule="auto"/>
            </w:pPr>
            <w:r>
              <w:rPr>
                <w:rFonts w:ascii="Arial" w:hAnsi="Arial"/>
                <w:sz w:val="18"/>
              </w:rPr>
              <w:t>RF/RN y criterios de aceptación</w:t>
            </w:r>
          </w:p>
        </w:tc>
      </w:tr>
      <w:tr>
        <w:trPr>
          <w:cantSplit/>
        </w:trPr>
        <w:tc>
          <w:tcPr>
            <w:tcW w:type="dxa" w:w="1944"/>
            <w:vAlign w:val="center"/>
            <w:shd w:fill="F2F4F6"/>
          </w:tcPr>
          <w:p>
            <w:pPr>
              <w:spacing w:after="40" w:before="20" w:line="254" w:lineRule="auto"/>
              <w:jc w:val="center"/>
            </w:pPr>
            <w:r>
              <w:rPr>
                <w:rFonts w:ascii="Arial" w:hAnsi="Arial"/>
                <w:sz w:val="18"/>
              </w:rPr>
              <w:t>Diseño</w:t>
            </w:r>
          </w:p>
        </w:tc>
        <w:tc>
          <w:tcPr>
            <w:tcW w:type="dxa" w:w="3672"/>
            <w:vAlign w:val="center"/>
            <w:shd w:fill="F2F4F6"/>
          </w:tcPr>
          <w:p>
            <w:pPr>
              <w:spacing w:after="40" w:before="20" w:line="254" w:lineRule="auto"/>
            </w:pPr>
            <w:r>
              <w:rPr>
                <w:rFonts w:ascii="Arial" w:hAnsi="Arial"/>
                <w:sz w:val="18"/>
              </w:rPr>
              <w:t>Diseñar escenarios, datos y permisos</w:t>
            </w:r>
          </w:p>
        </w:tc>
        <w:tc>
          <w:tcPr>
            <w:tcW w:type="dxa" w:w="4022"/>
            <w:vAlign w:val="center"/>
            <w:shd w:fill="F2F4F6"/>
          </w:tcPr>
          <w:p>
            <w:pPr>
              <w:spacing w:after="40" w:before="20" w:line="254" w:lineRule="auto"/>
            </w:pPr>
            <w:r>
              <w:rPr>
                <w:rFonts w:ascii="Arial" w:hAnsi="Arial"/>
                <w:sz w:val="18"/>
              </w:rPr>
              <w:t>Casos, matriz de roles, estados</w:t>
            </w:r>
          </w:p>
        </w:tc>
      </w:tr>
      <w:tr>
        <w:trPr>
          <w:cantSplit/>
        </w:trPr>
        <w:tc>
          <w:tcPr>
            <w:tcW w:type="dxa" w:w="1944"/>
            <w:vAlign w:val="center"/>
            <w:shd w:fill="FFFFFF"/>
          </w:tcPr>
          <w:p>
            <w:pPr>
              <w:spacing w:after="40" w:before="20" w:line="254" w:lineRule="auto"/>
              <w:jc w:val="center"/>
            </w:pPr>
            <w:r>
              <w:rPr>
                <w:rFonts w:ascii="Arial" w:hAnsi="Arial"/>
                <w:sz w:val="18"/>
              </w:rPr>
              <w:t>Implementación</w:t>
            </w:r>
          </w:p>
        </w:tc>
        <w:tc>
          <w:tcPr>
            <w:tcW w:type="dxa" w:w="3672"/>
            <w:vAlign w:val="center"/>
            <w:shd w:fill="FFFFFF"/>
          </w:tcPr>
          <w:p>
            <w:pPr>
              <w:spacing w:after="40" w:before="20" w:line="254" w:lineRule="auto"/>
            </w:pPr>
            <w:r>
              <w:rPr>
                <w:rFonts w:ascii="Arial" w:hAnsi="Arial"/>
                <w:sz w:val="18"/>
              </w:rPr>
              <w:t>Pruebas de componentes y revisión de código</w:t>
            </w:r>
          </w:p>
        </w:tc>
        <w:tc>
          <w:tcPr>
            <w:tcW w:type="dxa" w:w="4022"/>
            <w:vAlign w:val="center"/>
            <w:shd w:fill="FFFFFF"/>
          </w:tcPr>
          <w:p>
            <w:pPr>
              <w:spacing w:after="40" w:before="20" w:line="254" w:lineRule="auto"/>
            </w:pPr>
            <w:r>
              <w:rPr>
                <w:rFonts w:ascii="Arial" w:hAnsi="Arial"/>
                <w:sz w:val="18"/>
              </w:rPr>
              <w:t>Pruebas y revisión de cambios</w:t>
            </w:r>
          </w:p>
        </w:tc>
      </w:tr>
      <w:tr>
        <w:trPr>
          <w:cantSplit/>
        </w:trPr>
        <w:tc>
          <w:tcPr>
            <w:tcW w:type="dxa" w:w="1944"/>
            <w:vAlign w:val="center"/>
            <w:shd w:fill="F2F4F6"/>
          </w:tcPr>
          <w:p>
            <w:pPr>
              <w:spacing w:after="40" w:before="20" w:line="254" w:lineRule="auto"/>
              <w:jc w:val="center"/>
            </w:pPr>
            <w:r>
              <w:rPr>
                <w:rFonts w:ascii="Arial" w:hAnsi="Arial"/>
                <w:sz w:val="18"/>
              </w:rPr>
              <w:t>Integración</w:t>
            </w:r>
          </w:p>
        </w:tc>
        <w:tc>
          <w:tcPr>
            <w:tcW w:type="dxa" w:w="3672"/>
            <w:vAlign w:val="center"/>
            <w:shd w:fill="F2F4F6"/>
          </w:tcPr>
          <w:p>
            <w:pPr>
              <w:spacing w:after="40" w:before="20" w:line="254" w:lineRule="auto"/>
            </w:pPr>
            <w:r>
              <w:rPr>
                <w:rFonts w:ascii="Arial" w:hAnsi="Arial"/>
                <w:sz w:val="18"/>
              </w:rPr>
              <w:t>Ejecutar integración, sistema y regresión</w:t>
            </w:r>
          </w:p>
        </w:tc>
        <w:tc>
          <w:tcPr>
            <w:tcW w:type="dxa" w:w="4022"/>
            <w:vAlign w:val="center"/>
            <w:shd w:fill="F2F4F6"/>
          </w:tcPr>
          <w:p>
            <w:pPr>
              <w:spacing w:after="40" w:before="20" w:line="254" w:lineRule="auto"/>
            </w:pPr>
            <w:r>
              <w:rPr>
                <w:rFonts w:ascii="Arial" w:hAnsi="Arial"/>
                <w:sz w:val="18"/>
              </w:rPr>
              <w:t>Reporte de ejecución y defectos</w:t>
            </w:r>
          </w:p>
        </w:tc>
      </w:tr>
      <w:tr>
        <w:trPr>
          <w:cantSplit/>
        </w:trPr>
        <w:tc>
          <w:tcPr>
            <w:tcW w:type="dxa" w:w="1944"/>
            <w:vAlign w:val="center"/>
            <w:shd w:fill="FFFFFF"/>
          </w:tcPr>
          <w:p>
            <w:pPr>
              <w:spacing w:after="40" w:before="20" w:line="254" w:lineRule="auto"/>
              <w:jc w:val="center"/>
            </w:pPr>
            <w:r>
              <w:rPr>
                <w:rFonts w:ascii="Arial" w:hAnsi="Arial"/>
                <w:sz w:val="18"/>
              </w:rPr>
              <w:t>Entrega</w:t>
            </w:r>
          </w:p>
        </w:tc>
        <w:tc>
          <w:tcPr>
            <w:tcW w:type="dxa" w:w="3672"/>
            <w:vAlign w:val="center"/>
            <w:shd w:fill="FFFFFF"/>
          </w:tcPr>
          <w:p>
            <w:pPr>
              <w:spacing w:after="40" w:before="20" w:line="254" w:lineRule="auto"/>
            </w:pPr>
            <w:r>
              <w:rPr>
                <w:rFonts w:ascii="Arial" w:hAnsi="Arial"/>
                <w:sz w:val="18"/>
              </w:rPr>
              <w:t>Aceptación y verificación de instalación/entorno</w:t>
            </w:r>
          </w:p>
        </w:tc>
        <w:tc>
          <w:tcPr>
            <w:tcW w:type="dxa" w:w="4022"/>
            <w:vAlign w:val="center"/>
            <w:shd w:fill="FFFFFF"/>
          </w:tcPr>
          <w:p>
            <w:pPr>
              <w:spacing w:after="40" w:before="20" w:line="254" w:lineRule="auto"/>
            </w:pPr>
            <w:r>
              <w:rPr>
                <w:rFonts w:ascii="Arial" w:hAnsi="Arial"/>
                <w:sz w:val="18"/>
              </w:rPr>
              <w:t>Checklist y demo revisada</w:t>
            </w:r>
          </w:p>
        </w:tc>
      </w:tr>
      <w:tr>
        <w:trPr>
          <w:cantSplit/>
        </w:trPr>
        <w:tc>
          <w:tcPr>
            <w:tcW w:type="dxa" w:w="1944"/>
            <w:vAlign w:val="center"/>
            <w:shd w:fill="F2F4F6"/>
          </w:tcPr>
          <w:p>
            <w:pPr>
              <w:spacing w:after="40" w:before="20" w:line="254" w:lineRule="auto"/>
              <w:jc w:val="center"/>
            </w:pPr>
            <w:r>
              <w:rPr>
                <w:rFonts w:ascii="Arial" w:hAnsi="Arial"/>
                <w:sz w:val="18"/>
              </w:rPr>
              <w:t>Mantenimiento</w:t>
            </w:r>
          </w:p>
        </w:tc>
        <w:tc>
          <w:tcPr>
            <w:tcW w:type="dxa" w:w="3672"/>
            <w:vAlign w:val="center"/>
            <w:shd w:fill="F2F4F6"/>
          </w:tcPr>
          <w:p>
            <w:pPr>
              <w:spacing w:after="40" w:before="20" w:line="254" w:lineRule="auto"/>
            </w:pPr>
            <w:r>
              <w:rPr>
                <w:rFonts w:ascii="Arial" w:hAnsi="Arial"/>
                <w:sz w:val="18"/>
              </w:rPr>
              <w:t>Corregir hallazgos y repetir regresión</w:t>
            </w:r>
          </w:p>
        </w:tc>
        <w:tc>
          <w:tcPr>
            <w:tcW w:type="dxa" w:w="4022"/>
            <w:vAlign w:val="center"/>
            <w:shd w:fill="F2F4F6"/>
          </w:tcPr>
          <w:p>
            <w:pPr>
              <w:spacing w:after="40" w:before="20" w:line="254" w:lineRule="auto"/>
            </w:pPr>
            <w:r>
              <w:rPr>
                <w:rFonts w:ascii="Arial" w:hAnsi="Arial"/>
                <w:sz w:val="18"/>
              </w:rPr>
              <w:t>Registro de acciones y nueva evidencia</w:t>
            </w:r>
          </w:p>
        </w:tc>
      </w:tr>
    </w:tbl>
    <w:p>
      <w:pPr>
        <w:spacing w:after="80" w:line="40" w:lineRule="exact"/>
      </w:pPr>
      <w:r>
        <w:rPr>
          <w:sz w:val="4"/>
        </w:rPr>
      </w:r>
    </w:p>
    <w:p>
      <w:r>
        <w:t>QA en UniFood: acordar políticas, revisar requisitos y prevenir fallos mediante criterios claros. QC: ejecutar casos y comprobar el comportamiento obtenido. Ejemplo de costo de calidad: diseñar una prueba de casilla es prevención/evaluación; corregir la casilla antes de entregar es una falla interna. La estimación económica requiere registrar tiempos y costos del equipo.</w:t>
      </w:r>
    </w:p>
    <w:p>
      <w:bookmarkStart w:id="103" w:name="sec_4"/>
      <w:pPr>
        <w:pStyle w:val="Heading1"/>
        <w:pageBreakBefore/>
      </w:pPr>
      <w:r>
        <w:t>Organización del trabajo con Scrum</w:t>
      </w:r>
      <w:bookmarkEnd w:id="103"/>
    </w:p>
    <w:p>
      <w:pPr>
        <w:pStyle w:val="Heading2"/>
      </w:pPr>
      <w:r>
        <w:t>Distribución confirmada de responsabilidades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584"/>
        <w:gridCol w:w="2880"/>
        <w:gridCol w:w="5174"/>
      </w:tblGrid>
      <w:tr>
        <w:trPr>
          <w:cantSplit/>
          <w:tblHeader/>
        </w:trPr>
        <w:tc>
          <w:tcPr>
            <w:tcW w:type="dxa" w:w="1584"/>
            <w:vAlign w:val="center"/>
            <w:shd w:fill="303841"/>
          </w:tcPr>
          <w:p>
            <w:pPr>
              <w:keepNext/>
              <w:spacing w:after="40" w:before="20" w:line="254" w:lineRule="auto"/>
              <w:jc w:val="center"/>
            </w:pPr>
            <w:r>
              <w:rPr>
                <w:rFonts w:ascii="Arial" w:hAnsi="Arial"/>
                <w:b/>
                <w:color w:val="FFFFFF"/>
                <w:sz w:val="18"/>
              </w:rPr>
              <w:t>Integrante</w:t>
            </w:r>
          </w:p>
        </w:tc>
        <w:tc>
          <w:tcPr>
            <w:tcW w:type="dxa" w:w="2880"/>
            <w:vAlign w:val="center"/>
            <w:shd w:fill="303841"/>
          </w:tcPr>
          <w:p>
            <w:pPr>
              <w:keepNext/>
              <w:spacing w:after="40" w:before="20" w:line="254" w:lineRule="auto"/>
            </w:pPr>
            <w:r>
              <w:rPr>
                <w:rFonts w:ascii="Arial" w:hAnsi="Arial"/>
                <w:b/>
                <w:color w:val="FFFFFF"/>
                <w:sz w:val="18"/>
              </w:rPr>
              <w:t>Responsabilidad confirmada</w:t>
            </w:r>
          </w:p>
        </w:tc>
        <w:tc>
          <w:tcPr>
            <w:tcW w:type="dxa" w:w="5174"/>
            <w:vAlign w:val="center"/>
            <w:shd w:fill="303841"/>
          </w:tcPr>
          <w:p>
            <w:pPr>
              <w:keepNext/>
              <w:spacing w:after="40" w:before="20" w:line="254" w:lineRule="auto"/>
            </w:pPr>
            <w:r>
              <w:rPr>
                <w:rFonts w:ascii="Arial" w:hAnsi="Arial"/>
                <w:b/>
                <w:color w:val="FFFFFF"/>
                <w:sz w:val="18"/>
              </w:rPr>
              <w:t>Actividad concreta</w:t>
            </w:r>
          </w:p>
        </w:tc>
      </w:tr>
      <w:tr>
        <w:trPr>
          <w:cantSplit/>
        </w:trPr>
        <w:tc>
          <w:tcPr>
            <w:tcW w:type="dxa" w:w="1584"/>
            <w:vAlign w:val="center"/>
            <w:shd w:fill="FFFFFF"/>
          </w:tcPr>
          <w:p>
            <w:pPr>
              <w:spacing w:after="40" w:before="20" w:line="254" w:lineRule="auto"/>
              <w:jc w:val="center"/>
            </w:pPr>
            <w:r>
              <w:rPr>
                <w:rFonts w:ascii="Arial" w:hAnsi="Arial"/>
                <w:sz w:val="18"/>
              </w:rPr>
              <w:t>Ian Romero</w:t>
            </w:r>
          </w:p>
        </w:tc>
        <w:tc>
          <w:tcPr>
            <w:tcW w:type="dxa" w:w="2880"/>
            <w:vAlign w:val="center"/>
            <w:shd w:fill="FFFFFF"/>
          </w:tcPr>
          <w:p>
            <w:pPr>
              <w:spacing w:after="40" w:before="20" w:line="254" w:lineRule="auto"/>
            </w:pPr>
            <w:r>
              <w:rPr>
                <w:rFonts w:ascii="Arial" w:hAnsi="Arial"/>
                <w:sz w:val="18"/>
              </w:rPr>
              <w:t>Product Owner y colaboración técnica</w:t>
            </w:r>
          </w:p>
        </w:tc>
        <w:tc>
          <w:tcPr>
            <w:tcW w:type="dxa" w:w="5174"/>
            <w:vAlign w:val="center"/>
            <w:shd w:fill="FFFFFF"/>
          </w:tcPr>
          <w:p>
            <w:pPr>
              <w:spacing w:after="40" w:before="20" w:line="254" w:lineRule="auto"/>
            </w:pPr>
            <w:r>
              <w:rPr>
                <w:rFonts w:ascii="Arial" w:hAnsi="Arial"/>
                <w:sz w:val="18"/>
              </w:rPr>
              <w:t>Priorizar backlog y validar criterios desde la necesidad de la tienda</w:t>
            </w:r>
          </w:p>
        </w:tc>
      </w:tr>
      <w:tr>
        <w:trPr>
          <w:cantSplit/>
        </w:trPr>
        <w:tc>
          <w:tcPr>
            <w:tcW w:type="dxa" w:w="1584"/>
            <w:vAlign w:val="center"/>
            <w:shd w:fill="F2F4F6"/>
          </w:tcPr>
          <w:p>
            <w:pPr>
              <w:spacing w:after="40" w:before="20" w:line="254" w:lineRule="auto"/>
              <w:jc w:val="center"/>
            </w:pPr>
            <w:r>
              <w:rPr>
                <w:rFonts w:ascii="Arial" w:hAnsi="Arial"/>
                <w:sz w:val="18"/>
              </w:rPr>
              <w:t>Kathleen Barrientos</w:t>
            </w:r>
          </w:p>
        </w:tc>
        <w:tc>
          <w:tcPr>
            <w:tcW w:type="dxa" w:w="2880"/>
            <w:vAlign w:val="center"/>
            <w:shd w:fill="F2F4F6"/>
          </w:tcPr>
          <w:p>
            <w:pPr>
              <w:spacing w:after="40" w:before="20" w:line="254" w:lineRule="auto"/>
            </w:pPr>
            <w:r>
              <w:rPr>
                <w:rFonts w:ascii="Arial" w:hAnsi="Arial"/>
                <w:sz w:val="18"/>
              </w:rPr>
              <w:t>Scrum Master y colaboración en QA</w:t>
            </w:r>
          </w:p>
        </w:tc>
        <w:tc>
          <w:tcPr>
            <w:tcW w:type="dxa" w:w="5174"/>
            <w:vAlign w:val="center"/>
            <w:shd w:fill="F2F4F6"/>
          </w:tcPr>
          <w:p>
            <w:pPr>
              <w:spacing w:after="40" w:before="20" w:line="254" w:lineRule="auto"/>
            </w:pPr>
            <w:r>
              <w:rPr>
                <w:rFonts w:ascii="Arial" w:hAnsi="Arial"/>
                <w:sz w:val="18"/>
              </w:rPr>
              <w:t>Facilitar eventos, visibilizar impedimentos y coordinar revisión/evidencias</w:t>
            </w:r>
          </w:p>
        </w:tc>
      </w:tr>
      <w:tr>
        <w:trPr>
          <w:cantSplit/>
        </w:trPr>
        <w:tc>
          <w:tcPr>
            <w:tcW w:type="dxa" w:w="1584"/>
            <w:vAlign w:val="center"/>
            <w:shd w:fill="FFFFFF"/>
          </w:tcPr>
          <w:p>
            <w:pPr>
              <w:spacing w:after="40" w:before="20" w:line="254" w:lineRule="auto"/>
              <w:jc w:val="center"/>
            </w:pPr>
            <w:r>
              <w:rPr>
                <w:rFonts w:ascii="Arial" w:hAnsi="Arial"/>
                <w:sz w:val="18"/>
              </w:rPr>
              <w:t>Sergio Iporre</w:t>
            </w:r>
          </w:p>
        </w:tc>
        <w:tc>
          <w:tcPr>
            <w:tcW w:type="dxa" w:w="2880"/>
            <w:vAlign w:val="center"/>
            <w:shd w:fill="FFFFFF"/>
          </w:tcPr>
          <w:p>
            <w:pPr>
              <w:spacing w:after="40" w:before="20" w:line="254" w:lineRule="auto"/>
            </w:pPr>
            <w:r>
              <w:rPr>
                <w:rFonts w:ascii="Arial" w:hAnsi="Arial"/>
                <w:sz w:val="18"/>
              </w:rPr>
              <w:t>Developer con foco en automatización</w:t>
            </w:r>
          </w:p>
        </w:tc>
        <w:tc>
          <w:tcPr>
            <w:tcW w:type="dxa" w:w="5174"/>
            <w:vAlign w:val="center"/>
            <w:shd w:fill="FFFFFF"/>
          </w:tcPr>
          <w:p>
            <w:pPr>
              <w:spacing w:after="40" w:before="20" w:line="254" w:lineRule="auto"/>
            </w:pPr>
            <w:r>
              <w:rPr>
                <w:rFonts w:ascii="Arial" w:hAnsi="Arial"/>
                <w:sz w:val="18"/>
              </w:rPr>
              <w:t>Mantener código, pruebas e integración continua</w:t>
            </w:r>
          </w:p>
        </w:tc>
      </w:tr>
      <w:tr>
        <w:trPr>
          <w:cantSplit/>
        </w:trPr>
        <w:tc>
          <w:tcPr>
            <w:tcW w:type="dxa" w:w="1584"/>
            <w:vAlign w:val="center"/>
            <w:shd w:fill="F2F4F6"/>
          </w:tcPr>
          <w:p>
            <w:pPr>
              <w:spacing w:after="40" w:before="20" w:line="254" w:lineRule="auto"/>
              <w:jc w:val="center"/>
            </w:pPr>
            <w:r>
              <w:rPr>
                <w:rFonts w:ascii="Arial" w:hAnsi="Arial"/>
                <w:sz w:val="18"/>
              </w:rPr>
              <w:t>Los tres</w:t>
            </w:r>
          </w:p>
        </w:tc>
        <w:tc>
          <w:tcPr>
            <w:tcW w:type="dxa" w:w="2880"/>
            <w:vAlign w:val="center"/>
            <w:shd w:fill="F2F4F6"/>
          </w:tcPr>
          <w:p>
            <w:pPr>
              <w:spacing w:after="40" w:before="20" w:line="254" w:lineRule="auto"/>
            </w:pPr>
            <w:r>
              <w:rPr>
                <w:rFonts w:ascii="Arial" w:hAnsi="Arial"/>
                <w:sz w:val="18"/>
              </w:rPr>
              <w:t>Desarrollo y calidad compartidos</w:t>
            </w:r>
          </w:p>
        </w:tc>
        <w:tc>
          <w:tcPr>
            <w:tcW w:type="dxa" w:w="5174"/>
            <w:vAlign w:val="center"/>
            <w:shd w:fill="F2F4F6"/>
          </w:tcPr>
          <w:p>
            <w:pPr>
              <w:spacing w:after="40" w:before="20" w:line="254" w:lineRule="auto"/>
            </w:pPr>
            <w:r>
              <w:rPr>
                <w:rFonts w:ascii="Arial" w:hAnsi="Arial"/>
                <w:sz w:val="18"/>
              </w:rPr>
              <w:t>Revisar historias, ejecutar casos, corregir defectos y revisar resultados</w:t>
            </w:r>
          </w:p>
        </w:tc>
      </w:tr>
    </w:tbl>
    <w:p>
      <w:pPr>
        <w:spacing w:after="80" w:line="40" w:lineRule="exact"/>
      </w:pPr>
      <w:r>
        <w:rPr>
          <w:sz w:val="4"/>
        </w:rPr>
      </w:r>
    </w:p>
    <w:p>
      <w:r>
        <w:t>El usuario confirmó esta distribución el 27 de octubre de 2026 en la conversación de preparación de la entrega. El registro confirma roles; no acredita asistencia a reuniones ni firmas individuales. Scrum define Product Owner, Scrum Master y Developers; QA es una responsabilidad compartida que puede ejercer un integrante con ese foco, no un cuarto rol formal separado. Si PO o Scrum Master realizan trabajo del incremento, también colaboran como Developers.</w:t>
      </w:r>
    </w:p>
    <w:p>
      <w:pPr>
        <w:pStyle w:val="Heading2"/>
      </w:pPr>
      <w:r>
        <w:t>Objetivos y eventos</w:t>
      </w:r>
    </w:p>
    <w:p>
      <w:r>
        <w:t>Objetivo del producto: permitir pedidos de comida del campus con catálogo administrable, privacidad por estudiante y seguimiento comprensible desde web/móvil.</w:t>
      </w:r>
    </w:p>
    <w:p>
      <w:r>
        <w:t>Objetivo de la iteración: consolidar y demostrar el flujo estudiante-personal-administrador con reglas de negocio verificadas, trazabilidad y evidencias de calidad.</w:t>
      </w:r>
    </w:p>
    <w:p>
      <w:r>
        <w:t>Duración, fecha de inicio, fecha de fin y capacidad: pendientes de acuerdo del equipo. La demostración académica se considera un hito de validación y no acredita por sí sola la ejecución de un sprint completo.</w:t>
      </w:r>
    </w:p>
    <w:p>
      <w:pPr>
        <w:pStyle w:val="ListBullet"/>
      </w:pPr>
      <w:r>
        <w:t>Sprint Planning: elegir historias según valor/riesgo, acordar objetivo y dividir trabajo.</w:t>
      </w:r>
    </w:p>
    <w:p>
      <w:pPr>
        <w:pStyle w:val="ListBullet"/>
      </w:pPr>
      <w:r>
        <w:t>Daily Scrum: inspeccionar avance e impedimentos y ajustar el trabajo del día.</w:t>
      </w:r>
    </w:p>
    <w:p>
      <w:pPr>
        <w:pStyle w:val="ListBullet"/>
      </w:pPr>
      <w:r>
        <w:t>Sprint Review: demostrar el incremento y revisar criterios con interesados.</w:t>
      </w:r>
    </w:p>
    <w:p>
      <w:pPr>
        <w:pStyle w:val="ListBullet"/>
      </w:pPr>
      <w:r>
        <w:t>Sprint Retrospective: acordar mejoras del proceso a partir de lo observado.</w:t>
      </w:r>
    </w:p>
    <w:p>
      <w:r>
        <w:t>Los eventos se documentarán con participantes, fecha, decisiones y acciones. El trabajo implementado constituye la línea base de la iteración; las reuniones y estimaciones se registrarán a medida que se realicen.</w:t>
      </w:r>
    </w:p>
    <w:p>
      <w:pPr>
        <w:pStyle w:val="Heading2"/>
      </w:pPr>
      <w:r>
        <w:t>Historias y Product Backlog inicial</w:t>
      </w:r>
    </w:p>
    <w:p>
      <w:r>
        <w:t>Las historias especifican el comportamiento del producto existente y se someten a validación del Product Owner. Prioridad propuesta: P1 alta, P2 media. Puntos y asignación al sprint: por estimar en equipo.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152"/>
        <w:gridCol w:w="3744"/>
        <w:gridCol w:w="4742"/>
      </w:tblGrid>
      <w:tr>
        <w:trPr>
          <w:cantSplit/>
          <w:tblHeader/>
        </w:trPr>
        <w:tc>
          <w:tcPr>
            <w:tcW w:type="dxa" w:w="1152"/>
            <w:vAlign w:val="center"/>
            <w:shd w:fill="303841"/>
          </w:tcPr>
          <w:p>
            <w:pPr>
              <w:keepNext/>
              <w:spacing w:after="40" w:before="20" w:line="254" w:lineRule="auto"/>
              <w:jc w:val="center"/>
            </w:pPr>
            <w:r>
              <w:rPr>
                <w:rFonts w:ascii="Arial" w:hAnsi="Arial"/>
                <w:b/>
                <w:color w:val="FFFFFF"/>
                <w:sz w:val="18"/>
              </w:rPr>
              <w:t>ID y prioridad</w:t>
            </w:r>
          </w:p>
        </w:tc>
        <w:tc>
          <w:tcPr>
            <w:tcW w:type="dxa" w:w="3744"/>
            <w:vAlign w:val="center"/>
            <w:shd w:fill="303841"/>
          </w:tcPr>
          <w:p>
            <w:pPr>
              <w:keepNext/>
              <w:spacing w:after="40" w:before="20" w:line="254" w:lineRule="auto"/>
            </w:pPr>
            <w:r>
              <w:rPr>
                <w:rFonts w:ascii="Arial" w:hAnsi="Arial"/>
                <w:b/>
                <w:color w:val="FFFFFF"/>
                <w:sz w:val="18"/>
              </w:rPr>
              <w:t>Historia</w:t>
            </w:r>
          </w:p>
        </w:tc>
        <w:tc>
          <w:tcPr>
            <w:tcW w:type="dxa" w:w="4742"/>
            <w:vAlign w:val="center"/>
            <w:shd w:fill="303841"/>
          </w:tcPr>
          <w:p>
            <w:pPr>
              <w:keepNext/>
              <w:spacing w:after="40" w:before="20" w:line="254" w:lineRule="auto"/>
            </w:pPr>
            <w:r>
              <w:rPr>
                <w:rFonts w:ascii="Arial" w:hAnsi="Arial"/>
                <w:b/>
                <w:color w:val="FFFFFF"/>
                <w:sz w:val="18"/>
              </w:rPr>
              <w:t>Criterios de aceptación</w:t>
            </w:r>
          </w:p>
        </w:tc>
      </w:tr>
      <w:tr>
        <w:trPr>
          <w:cantSplit/>
        </w:trPr>
        <w:tc>
          <w:tcPr>
            <w:tcW w:type="dxa" w:w="1152"/>
            <w:vAlign w:val="center"/>
            <w:shd w:fill="FFFFFF"/>
          </w:tcPr>
          <w:p>
            <w:pPr>
              <w:spacing w:after="40" w:before="20" w:line="254" w:lineRule="auto"/>
              <w:jc w:val="center"/>
            </w:pPr>
            <w:r>
              <w:rPr>
                <w:rFonts w:ascii="Arial" w:hAnsi="Arial"/>
                <w:sz w:val="18"/>
              </w:rPr>
              <w:t>HU-01</w:t>
              <w:br/>
              <w:t>P1</w:t>
            </w:r>
          </w:p>
        </w:tc>
        <w:tc>
          <w:tcPr>
            <w:tcW w:type="dxa" w:w="3744"/>
            <w:vAlign w:val="center"/>
            <w:shd w:fill="FFFFFF"/>
          </w:tcPr>
          <w:p>
            <w:pPr>
              <w:spacing w:after="40" w:before="20" w:line="254" w:lineRule="auto"/>
            </w:pPr>
            <w:r>
              <w:rPr>
                <w:rFonts w:ascii="Arial" w:hAnsi="Arial"/>
                <w:sz w:val="18"/>
              </w:rPr>
              <w:t>Como usuario quiero iniciar/cerrar sesión para acceder a mis funciones</w:t>
            </w:r>
          </w:p>
        </w:tc>
        <w:tc>
          <w:tcPr>
            <w:tcW w:type="dxa" w:w="4742"/>
            <w:vAlign w:val="center"/>
            <w:shd w:fill="FFFFFF"/>
          </w:tcPr>
          <w:p>
            <w:pPr>
              <w:spacing w:after="40" w:before="20" w:line="254" w:lineRule="auto"/>
            </w:pPr>
            <w:r>
              <w:rPr>
                <w:rFonts w:ascii="Arial" w:hAnsi="Arial"/>
                <w:sz w:val="18"/>
              </w:rPr>
              <w:t>Credenciales válidas permiten entrar; credenciales inválidas no; acceso según rol; logout invalida sesión</w:t>
            </w:r>
          </w:p>
        </w:tc>
      </w:tr>
      <w:tr>
        <w:trPr>
          <w:cantSplit/>
        </w:trPr>
        <w:tc>
          <w:tcPr>
            <w:tcW w:type="dxa" w:w="1152"/>
            <w:vAlign w:val="center"/>
            <w:shd w:fill="F2F4F6"/>
          </w:tcPr>
          <w:p>
            <w:pPr>
              <w:spacing w:after="40" w:before="20" w:line="254" w:lineRule="auto"/>
              <w:jc w:val="center"/>
            </w:pPr>
            <w:r>
              <w:rPr>
                <w:rFonts w:ascii="Arial" w:hAnsi="Arial"/>
                <w:sz w:val="18"/>
              </w:rPr>
              <w:t>HU-02</w:t>
              <w:br/>
              <w:t>P1</w:t>
            </w:r>
          </w:p>
        </w:tc>
        <w:tc>
          <w:tcPr>
            <w:tcW w:type="dxa" w:w="3744"/>
            <w:vAlign w:val="center"/>
            <w:shd w:fill="F2F4F6"/>
          </w:tcPr>
          <w:p>
            <w:pPr>
              <w:spacing w:after="40" w:before="20" w:line="254" w:lineRule="auto"/>
            </w:pPr>
            <w:r>
              <w:rPr>
                <w:rFonts w:ascii="Arial" w:hAnsi="Arial"/>
                <w:sz w:val="18"/>
              </w:rPr>
              <w:t>Como estudiante quiero consultar el menú para elegir productos</w:t>
            </w:r>
          </w:p>
        </w:tc>
        <w:tc>
          <w:tcPr>
            <w:tcW w:type="dxa" w:w="4742"/>
            <w:vAlign w:val="center"/>
            <w:shd w:fill="F2F4F6"/>
          </w:tcPr>
          <w:p>
            <w:pPr>
              <w:spacing w:after="40" w:before="20" w:line="254" w:lineRule="auto"/>
            </w:pPr>
            <w:r>
              <w:rPr>
                <w:rFonts w:ascii="Arial" w:hAnsi="Arial"/>
                <w:sz w:val="18"/>
              </w:rPr>
              <w:t>Solo productos activos; precios visibles; agotados diferenciados</w:t>
            </w:r>
          </w:p>
        </w:tc>
      </w:tr>
      <w:tr>
        <w:trPr>
          <w:cantSplit/>
        </w:trPr>
        <w:tc>
          <w:tcPr>
            <w:tcW w:type="dxa" w:w="1152"/>
            <w:vAlign w:val="center"/>
            <w:shd w:fill="FFFFFF"/>
          </w:tcPr>
          <w:p>
            <w:pPr>
              <w:spacing w:after="40" w:before="20" w:line="254" w:lineRule="auto"/>
              <w:jc w:val="center"/>
            </w:pPr>
            <w:r>
              <w:rPr>
                <w:rFonts w:ascii="Arial" w:hAnsi="Arial"/>
                <w:sz w:val="18"/>
              </w:rPr>
              <w:t>HU-03</w:t>
              <w:br/>
              <w:t>P1</w:t>
            </w:r>
          </w:p>
        </w:tc>
        <w:tc>
          <w:tcPr>
            <w:tcW w:type="dxa" w:w="3744"/>
            <w:vAlign w:val="center"/>
            <w:shd w:fill="FFFFFF"/>
          </w:tcPr>
          <w:p>
            <w:pPr>
              <w:spacing w:after="40" w:before="20" w:line="254" w:lineRule="auto"/>
            </w:pPr>
            <w:r>
              <w:rPr>
                <w:rFonts w:ascii="Arial" w:hAnsi="Arial"/>
                <w:sz w:val="18"/>
              </w:rPr>
              <w:t>Como estudiante quiero gestionar mi carrito para revisar mi compra</w:t>
            </w:r>
          </w:p>
        </w:tc>
        <w:tc>
          <w:tcPr>
            <w:tcW w:type="dxa" w:w="4742"/>
            <w:vAlign w:val="center"/>
            <w:shd w:fill="FFFFFF"/>
          </w:tcPr>
          <w:p>
            <w:pPr>
              <w:spacing w:after="40" w:before="20" w:line="254" w:lineRule="auto"/>
            </w:pPr>
            <w:r>
              <w:rPr>
                <w:rFonts w:ascii="Arial" w:hAnsi="Arial"/>
                <w:sz w:val="18"/>
              </w:rPr>
              <w:t>Cantidades válidas; subtotales/total correctos; quitar producto actualiza el total</w:t>
            </w:r>
          </w:p>
        </w:tc>
      </w:tr>
      <w:tr>
        <w:trPr>
          <w:cantSplit/>
        </w:trPr>
        <w:tc>
          <w:tcPr>
            <w:tcW w:type="dxa" w:w="1152"/>
            <w:vAlign w:val="center"/>
            <w:shd w:fill="F2F4F6"/>
          </w:tcPr>
          <w:p>
            <w:pPr>
              <w:spacing w:after="40" w:before="20" w:line="254" w:lineRule="auto"/>
              <w:jc w:val="center"/>
            </w:pPr>
            <w:r>
              <w:rPr>
                <w:rFonts w:ascii="Arial" w:hAnsi="Arial"/>
                <w:sz w:val="18"/>
              </w:rPr>
              <w:t>HU-04</w:t>
              <w:br/>
              <w:t>P1</w:t>
            </w:r>
          </w:p>
        </w:tc>
        <w:tc>
          <w:tcPr>
            <w:tcW w:type="dxa" w:w="3744"/>
            <w:vAlign w:val="center"/>
            <w:shd w:fill="F2F4F6"/>
          </w:tcPr>
          <w:p>
            <w:pPr>
              <w:spacing w:after="40" w:before="20" w:line="254" w:lineRule="auto"/>
            </w:pPr>
            <w:r>
              <w:rPr>
                <w:rFonts w:ascii="Arial" w:hAnsi="Arial"/>
                <w:sz w:val="18"/>
              </w:rPr>
              <w:t>Como estudiante quiero confirmar mi pedido para recogerlo en la tienda</w:t>
            </w:r>
          </w:p>
        </w:tc>
        <w:tc>
          <w:tcPr>
            <w:tcW w:type="dxa" w:w="4742"/>
            <w:vAlign w:val="center"/>
            <w:shd w:fill="F2F4F6"/>
          </w:tcPr>
          <w:p>
            <w:pPr>
              <w:spacing w:after="40" w:before="20" w:line="254" w:lineRule="auto"/>
            </w:pPr>
            <w:r>
              <w:rPr>
                <w:rFonts w:ascii="Arial" w:hAnsi="Arial"/>
                <w:sz w:val="18"/>
              </w:rPr>
              <w:t>Se crea pedido pendiente con detalle; carrito vacío se rechaza; producto no disponible se rechaza</w:t>
            </w:r>
          </w:p>
        </w:tc>
      </w:tr>
      <w:tr>
        <w:trPr>
          <w:cantSplit/>
        </w:trPr>
        <w:tc>
          <w:tcPr>
            <w:tcW w:type="dxa" w:w="1152"/>
            <w:vAlign w:val="center"/>
            <w:shd w:fill="FFFFFF"/>
          </w:tcPr>
          <w:p>
            <w:pPr>
              <w:spacing w:after="40" w:before="20" w:line="254" w:lineRule="auto"/>
              <w:jc w:val="center"/>
            </w:pPr>
            <w:r>
              <w:rPr>
                <w:rFonts w:ascii="Arial" w:hAnsi="Arial"/>
                <w:sz w:val="18"/>
              </w:rPr>
              <w:t>HU-05</w:t>
              <w:br/>
              <w:t>P1</w:t>
            </w:r>
          </w:p>
        </w:tc>
        <w:tc>
          <w:tcPr>
            <w:tcW w:type="dxa" w:w="3744"/>
            <w:vAlign w:val="center"/>
            <w:shd w:fill="FFFFFF"/>
          </w:tcPr>
          <w:p>
            <w:pPr>
              <w:spacing w:after="40" w:before="20" w:line="254" w:lineRule="auto"/>
            </w:pPr>
            <w:r>
              <w:rPr>
                <w:rFonts w:ascii="Arial" w:hAnsi="Arial"/>
                <w:sz w:val="18"/>
              </w:rPr>
              <w:t>Como estudiante quiero consultar mis pedidos para conocer su estado</w:t>
            </w:r>
          </w:p>
        </w:tc>
        <w:tc>
          <w:tcPr>
            <w:tcW w:type="dxa" w:w="4742"/>
            <w:vAlign w:val="center"/>
            <w:shd w:fill="FFFFFF"/>
          </w:tcPr>
          <w:p>
            <w:pPr>
              <w:spacing w:after="40" w:before="20" w:line="254" w:lineRule="auto"/>
            </w:pPr>
            <w:r>
              <w:rPr>
                <w:rFonts w:ascii="Arial" w:hAnsi="Arial"/>
                <w:sz w:val="18"/>
              </w:rPr>
              <w:t>Solo pedidos propios; detalle coherente; acceso a pedido ajeno rechazado</w:t>
            </w:r>
          </w:p>
        </w:tc>
      </w:tr>
      <w:tr>
        <w:trPr>
          <w:cantSplit/>
        </w:trPr>
        <w:tc>
          <w:tcPr>
            <w:tcW w:type="dxa" w:w="1152"/>
            <w:vAlign w:val="center"/>
            <w:shd w:fill="F2F4F6"/>
          </w:tcPr>
          <w:p>
            <w:pPr>
              <w:spacing w:after="40" w:before="20" w:line="254" w:lineRule="auto"/>
              <w:jc w:val="center"/>
            </w:pPr>
            <w:r>
              <w:rPr>
                <w:rFonts w:ascii="Arial" w:hAnsi="Arial"/>
                <w:sz w:val="18"/>
              </w:rPr>
              <w:t>HU-06</w:t>
              <w:br/>
              <w:t>P1</w:t>
            </w:r>
          </w:p>
        </w:tc>
        <w:tc>
          <w:tcPr>
            <w:tcW w:type="dxa" w:w="3744"/>
            <w:vAlign w:val="center"/>
            <w:shd w:fill="F2F4F6"/>
          </w:tcPr>
          <w:p>
            <w:pPr>
              <w:spacing w:after="40" w:before="20" w:line="254" w:lineRule="auto"/>
            </w:pPr>
            <w:r>
              <w:rPr>
                <w:rFonts w:ascii="Arial" w:hAnsi="Arial"/>
                <w:sz w:val="18"/>
              </w:rPr>
              <w:t>Como empleado/administrador quiero avanzar pedidos para organizar la entrega</w:t>
            </w:r>
          </w:p>
        </w:tc>
        <w:tc>
          <w:tcPr>
            <w:tcW w:type="dxa" w:w="4742"/>
            <w:vAlign w:val="center"/>
            <w:shd w:fill="F2F4F6"/>
          </w:tcPr>
          <w:p>
            <w:pPr>
              <w:spacing w:after="40" w:before="20" w:line="254" w:lineRule="auto"/>
            </w:pPr>
            <w:r>
              <w:rPr>
                <w:rFonts w:ascii="Arial" w:hAnsi="Arial"/>
                <w:sz w:val="18"/>
              </w:rPr>
              <w:t>Transiciones permitidas en orden; entregado no se modifica</w:t>
            </w:r>
          </w:p>
        </w:tc>
      </w:tr>
      <w:tr>
        <w:trPr>
          <w:cantSplit/>
        </w:trPr>
        <w:tc>
          <w:tcPr>
            <w:tcW w:type="dxa" w:w="1152"/>
            <w:vAlign w:val="center"/>
            <w:shd w:fill="FFFFFF"/>
          </w:tcPr>
          <w:p>
            <w:pPr>
              <w:spacing w:after="40" w:before="20" w:line="254" w:lineRule="auto"/>
              <w:jc w:val="center"/>
            </w:pPr>
            <w:r>
              <w:rPr>
                <w:rFonts w:ascii="Arial" w:hAnsi="Arial"/>
                <w:sz w:val="18"/>
              </w:rPr>
              <w:t>HU-07</w:t>
              <w:br/>
              <w:t>P1</w:t>
            </w:r>
          </w:p>
        </w:tc>
        <w:tc>
          <w:tcPr>
            <w:tcW w:type="dxa" w:w="3744"/>
            <w:vAlign w:val="center"/>
            <w:shd w:fill="FFFFFF"/>
          </w:tcPr>
          <w:p>
            <w:pPr>
              <w:spacing w:after="40" w:before="20" w:line="254" w:lineRule="auto"/>
            </w:pPr>
            <w:r>
              <w:rPr>
                <w:rFonts w:ascii="Arial" w:hAnsi="Arial"/>
                <w:sz w:val="18"/>
              </w:rPr>
              <w:t>Como administrador quiero registrar/editar productos para mantener el menú</w:t>
            </w:r>
          </w:p>
        </w:tc>
        <w:tc>
          <w:tcPr>
            <w:tcW w:type="dxa" w:w="4742"/>
            <w:vAlign w:val="center"/>
            <w:shd w:fill="FFFFFF"/>
          </w:tcPr>
          <w:p>
            <w:pPr>
              <w:spacing w:after="40" w:before="20" w:line="254" w:lineRule="auto"/>
            </w:pPr>
            <w:r>
              <w:rPr>
                <w:rFonts w:ascii="Arial" w:hAnsi="Arial"/>
                <w:sz w:val="18"/>
              </w:rPr>
              <w:t>Precio positivo y nombre/categoría válidos; casilla Disponible se respeta; validación no guarda cambios parciales</w:t>
            </w:r>
          </w:p>
        </w:tc>
      </w:tr>
      <w:tr>
        <w:trPr>
          <w:cantSplit/>
        </w:trPr>
        <w:tc>
          <w:tcPr>
            <w:tcW w:type="dxa" w:w="1152"/>
            <w:vAlign w:val="center"/>
            <w:shd w:fill="F2F4F6"/>
          </w:tcPr>
          <w:p>
            <w:pPr>
              <w:spacing w:after="40" w:before="20" w:line="254" w:lineRule="auto"/>
              <w:jc w:val="center"/>
            </w:pPr>
            <w:r>
              <w:rPr>
                <w:rFonts w:ascii="Arial" w:hAnsi="Arial"/>
                <w:sz w:val="18"/>
              </w:rPr>
              <w:t>HU-08</w:t>
              <w:br/>
              <w:t>P1</w:t>
            </w:r>
          </w:p>
        </w:tc>
        <w:tc>
          <w:tcPr>
            <w:tcW w:type="dxa" w:w="3744"/>
            <w:vAlign w:val="center"/>
            <w:shd w:fill="F2F4F6"/>
          </w:tcPr>
          <w:p>
            <w:pPr>
              <w:spacing w:after="40" w:before="20" w:line="254" w:lineRule="auto"/>
            </w:pPr>
            <w:r>
              <w:rPr>
                <w:rFonts w:ascii="Arial" w:hAnsi="Arial"/>
                <w:sz w:val="18"/>
              </w:rPr>
              <w:t>Como administrador quiero retirar/reactivar productos para controlar su presencia</w:t>
            </w:r>
          </w:p>
        </w:tc>
        <w:tc>
          <w:tcPr>
            <w:tcW w:type="dxa" w:w="4742"/>
            <w:vAlign w:val="center"/>
            <w:shd w:fill="F2F4F6"/>
          </w:tcPr>
          <w:p>
            <w:pPr>
              <w:spacing w:after="40" w:before="20" w:line="254" w:lineRule="auto"/>
            </w:pPr>
            <w:r>
              <w:rPr>
                <w:rFonts w:ascii="Arial" w:hAnsi="Arial"/>
                <w:sz w:val="18"/>
              </w:rPr>
              <w:t>Desmarcar Activo lo retira; reactivarlo lo muestra; estudiantes/empleados no modifican catálogo</w:t>
            </w:r>
          </w:p>
        </w:tc>
      </w:tr>
      <w:tr>
        <w:trPr>
          <w:cantSplit/>
        </w:trPr>
        <w:tc>
          <w:tcPr>
            <w:tcW w:type="dxa" w:w="1152"/>
            <w:vAlign w:val="center"/>
            <w:shd w:fill="FFFFFF"/>
          </w:tcPr>
          <w:p>
            <w:pPr>
              <w:spacing w:after="40" w:before="20" w:line="254" w:lineRule="auto"/>
              <w:jc w:val="center"/>
            </w:pPr>
            <w:r>
              <w:rPr>
                <w:rFonts w:ascii="Arial" w:hAnsi="Arial"/>
                <w:sz w:val="18"/>
              </w:rPr>
              <w:t>HU-09</w:t>
              <w:br/>
              <w:t>P2</w:t>
            </w:r>
          </w:p>
        </w:tc>
        <w:tc>
          <w:tcPr>
            <w:tcW w:type="dxa" w:w="3744"/>
            <w:vAlign w:val="center"/>
            <w:shd w:fill="FFFFFF"/>
          </w:tcPr>
          <w:p>
            <w:pPr>
              <w:spacing w:after="40" w:before="20" w:line="254" w:lineRule="auto"/>
            </w:pPr>
            <w:r>
              <w:rPr>
                <w:rFonts w:ascii="Arial" w:hAnsi="Arial"/>
                <w:sz w:val="18"/>
              </w:rPr>
              <w:t>Como estudiante quiero cancelar un pedido pendiente para corregir una solicitud</w:t>
            </w:r>
          </w:p>
        </w:tc>
        <w:tc>
          <w:tcPr>
            <w:tcW w:type="dxa" w:w="4742"/>
            <w:vAlign w:val="center"/>
            <w:shd w:fill="FFFFFF"/>
          </w:tcPr>
          <w:p>
            <w:pPr>
              <w:spacing w:after="40" w:before="20" w:line="254" w:lineRule="auto"/>
            </w:pPr>
            <w:r>
              <w:rPr>
                <w:rFonts w:ascii="Arial" w:hAnsi="Arial"/>
                <w:sz w:val="18"/>
              </w:rPr>
              <w:t>Solo propio y pendiente; Volver/Escape no ejecutan cancelación; confirmar solicita una sola operación</w:t>
            </w:r>
          </w:p>
        </w:tc>
      </w:tr>
      <w:tr>
        <w:trPr>
          <w:cantSplit/>
        </w:trPr>
        <w:tc>
          <w:tcPr>
            <w:tcW w:type="dxa" w:w="1152"/>
            <w:vAlign w:val="center"/>
            <w:shd w:fill="F2F4F6"/>
          </w:tcPr>
          <w:p>
            <w:pPr>
              <w:spacing w:after="40" w:before="20" w:line="254" w:lineRule="auto"/>
              <w:jc w:val="center"/>
            </w:pPr>
            <w:r>
              <w:rPr>
                <w:rFonts w:ascii="Arial" w:hAnsi="Arial"/>
                <w:sz w:val="18"/>
              </w:rPr>
              <w:t>HU-10</w:t>
              <w:br/>
              <w:t>P2</w:t>
            </w:r>
          </w:p>
        </w:tc>
        <w:tc>
          <w:tcPr>
            <w:tcW w:type="dxa" w:w="3744"/>
            <w:vAlign w:val="center"/>
            <w:shd w:fill="F2F4F6"/>
          </w:tcPr>
          <w:p>
            <w:pPr>
              <w:spacing w:after="40" w:before="20" w:line="254" w:lineRule="auto"/>
            </w:pPr>
            <w:r>
              <w:rPr>
                <w:rFonts w:ascii="Arial" w:hAnsi="Arial"/>
                <w:sz w:val="18"/>
              </w:rPr>
              <w:t>Como usuario móvil quiero instalar UniFood y recibir un aviso sin conexión</w:t>
            </w:r>
          </w:p>
        </w:tc>
        <w:tc>
          <w:tcPr>
            <w:tcW w:type="dxa" w:w="4742"/>
            <w:vAlign w:val="center"/>
            <w:shd w:fill="F2F4F6"/>
          </w:tcPr>
          <w:p>
            <w:pPr>
              <w:spacing w:after="40" w:before="20" w:line="254" w:lineRule="auto"/>
            </w:pPr>
            <w:r>
              <w:rPr>
                <w:rFonts w:ascii="Arial" w:hAnsi="Arial"/>
                <w:sz w:val="18"/>
              </w:rPr>
              <w:t>Manifiesto/iconos válidos; instalación en entorno compatible; fallo de red muestra aviso sin datos privados</w:t>
            </w:r>
          </w:p>
        </w:tc>
      </w:tr>
    </w:tbl>
    <w:p>
      <w:pPr>
        <w:spacing w:after="80" w:line="40" w:lineRule="exact"/>
      </w:pPr>
      <w:r>
        <w:rPr>
          <w:sz w:val="4"/>
        </w:rPr>
      </w:r>
    </w:p>
    <w:p>
      <w:r>
        <w:t>RF-11 incorpora recuperación de contraseña. Se corrigió el defecto DEF-03 y se verificaron vigencia, hash, uso único y limitación de solicitudes mediante PasswordRecoveryTest. La entrega del enlace sigue destinada a la demostración local en log.</w:t>
      </w:r>
    </w:p>
    <w:p>
      <w:pPr>
        <w:pStyle w:val="Heading2"/>
      </w:pPr>
      <w:r>
        <w:t>Sprint Backlog sugerido para preparar la demostración</w:t>
      </w:r>
    </w:p>
    <w:p>
      <w:pPr>
        <w:pStyle w:val="ListNumber"/>
        <w:numPr>
          <w:ilvl w:val="0"/>
          <w:numId w:val="10"/>
        </w:numPr>
      </w:pPr>
      <w:r>
        <w:t>Validar RF/RN y criterios de HU-04, HU-05, HU-07 y HU-08.</w:t>
      </w:r>
    </w:p>
    <w:p>
      <w:pPr>
        <w:pStyle w:val="ListNumber"/>
        <w:numPr>
          <w:ilvl w:val="0"/>
          <w:numId w:val="10"/>
        </w:numPr>
      </w:pPr>
      <w:r>
        <w:t>Asignar responsables y revisar este Test Plan.</w:t>
      </w:r>
    </w:p>
    <w:p>
      <w:pPr>
        <w:pStyle w:val="ListNumber"/>
        <w:numPr>
          <w:ilvl w:val="0"/>
          <w:numId w:val="10"/>
        </w:numPr>
      </w:pPr>
      <w:r>
        <w:t>Preparar datos aislados y diseñar casos, incluidos errores y permisos.</w:t>
      </w:r>
    </w:p>
    <w:p>
      <w:pPr>
        <w:pStyle w:val="ListNumber"/>
        <w:numPr>
          <w:ilvl w:val="0"/>
          <w:numId w:val="10"/>
        </w:numPr>
      </w:pPr>
      <w:r>
        <w:t>Ejecutar la suite existente y guardar logs con versión del código.</w:t>
      </w:r>
    </w:p>
    <w:p>
      <w:pPr>
        <w:pStyle w:val="ListNumber"/>
        <w:numPr>
          <w:ilvl w:val="0"/>
          <w:numId w:val="10"/>
        </w:numPr>
      </w:pPr>
      <w:r>
        <w:t>Ejecutar el recorrido manual y registrar defectos/capturas.</w:t>
      </w:r>
    </w:p>
    <w:p>
      <w:pPr>
        <w:pStyle w:val="ListNumber"/>
        <w:numPr>
          <w:ilvl w:val="0"/>
          <w:numId w:val="10"/>
        </w:numPr>
      </w:pPr>
      <w:r>
        <w:t>Conservar la campaña aprobada de Cypress y Selenium y sus reportes vinculados.</w:t>
      </w:r>
    </w:p>
    <w:p>
      <w:pPr>
        <w:pStyle w:val="ListNumber"/>
        <w:numPr>
          <w:ilvl w:val="0"/>
          <w:numId w:val="10"/>
        </w:numPr>
      </w:pPr>
      <w:r>
        <w:t>Revisar una historia, inspeccionar su código y completar un registro de auditoría.</w:t>
      </w:r>
    </w:p>
    <w:p>
      <w:pPr>
        <w:pStyle w:val="ListNumber"/>
        <w:numPr>
          <w:ilvl w:val="0"/>
          <w:numId w:val="10"/>
        </w:numPr>
      </w:pPr>
      <w:r>
        <w:t>Revisar resultados y ordenar lo pendiente para el siguiente incremento.</w:t>
      </w:r>
    </w:p>
    <w:p>
      <w:r>
        <w:t>Tablero publicado: https://github.com/users/kat506/projects/1. Diez historias HU-01 a HU-10 enlazan a los issues 2 a 11 de ifrancro/UniFood. El PR 1 reúne los cambios técnicos; DEF-03 se registra en el issue 12. El CSV permite conservar una copia local. Flujo: Por validar → En curso → En revisión → Terminado. Vincular en cada tarjeta HU, RF, casos, defectos, evidencia y commit. Un tablero con esas columnas apoya Scrum, pero por sí solo no demuestra que se haya aplicado todo el marco.</w:t>
      </w:r>
    </w:p>
    <w:p>
      <w:pPr>
        <w:pStyle w:val="Heading2"/>
      </w:pPr>
      <w:r>
        <w:t>Criterios de entrada y salida</w:t>
      </w:r>
    </w:p>
    <w:p>
      <w:r>
        <w:t>Criterios de preparación de las historias: historia comprensible; criterios verificables; dependencias y riesgos conocidos; datos/entorno definidos; prioridad acordada. No es un elemento formal obligatorio de Scrum.</w:t>
      </w:r>
    </w:p>
    <w:p>
      <w:r>
        <w:t>Criterios de terminación: aceptación satisfecha; cambio revisado; regresión aprobada; defectos críticos resueltos o fuera del alcance acordado; evidencia y documentación actualizadas; incremento integrado y usable.</w:t>
      </w:r>
    </w:p>
    <w:p>
      <w:bookmarkStart w:id="104" w:name="sec_5"/>
      <w:pPr>
        <w:pStyle w:val="Heading1"/>
      </w:pPr>
      <w:r>
        <w:t>Plan de pruebas TP UF 01</w:t>
      </w:r>
      <w:bookmarkEnd w:id="104"/>
    </w:p>
    <w:p>
      <w:pPr>
        <w:pStyle w:val="Heading2"/>
      </w:pPr>
      <w:r>
        <w:t>Introducción</w:t>
      </w:r>
    </w:p>
    <w:p>
      <w:r>
        <w:t>El plan TP-UF-01 establece el alcance, la estrategia y los controles de calidad del catálogo y del recorrido de pedidos dentro de Scrum. Constituye la primera línea base documental del proyecto y servirá como referencia para evaluar resultados y registrar futuras actualizaciones.</w:t>
      </w:r>
    </w:p>
    <w:p>
      <w:r>
        <w:t>Control de cambios del plan y su evidencia: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944"/>
        <w:gridCol w:w="3672"/>
        <w:gridCol w:w="4022"/>
      </w:tblGrid>
      <w:tr>
        <w:trPr>
          <w:cantSplit/>
          <w:tblHeader/>
        </w:trPr>
        <w:tc>
          <w:tcPr>
            <w:tcW w:type="dxa" w:w="1944"/>
            <w:vAlign w:val="center"/>
            <w:shd w:fill="303841"/>
          </w:tcPr>
          <w:p>
            <w:pPr>
              <w:keepNext/>
              <w:spacing w:after="40" w:before="20" w:line="254" w:lineRule="auto"/>
              <w:jc w:val="center"/>
            </w:pPr>
            <w:r>
              <w:rPr>
                <w:rFonts w:ascii="Arial" w:hAnsi="Arial"/>
                <w:b/>
                <w:color w:val="FFFFFF"/>
                <w:sz w:val="18"/>
              </w:rPr>
              <w:t>Versión</w:t>
            </w:r>
          </w:p>
        </w:tc>
        <w:tc>
          <w:tcPr>
            <w:tcW w:type="dxa" w:w="3672"/>
            <w:vAlign w:val="center"/>
            <w:shd w:fill="303841"/>
          </w:tcPr>
          <w:p>
            <w:pPr>
              <w:keepNext/>
              <w:spacing w:after="40" w:before="20" w:line="254" w:lineRule="auto"/>
            </w:pPr>
            <w:r>
              <w:rPr>
                <w:rFonts w:ascii="Arial" w:hAnsi="Arial"/>
                <w:b/>
                <w:color w:val="FFFFFF"/>
                <w:sz w:val="18"/>
              </w:rPr>
              <w:t>Cambio documentado</w:t>
            </w:r>
          </w:p>
        </w:tc>
        <w:tc>
          <w:tcPr>
            <w:tcW w:type="dxa" w:w="4022"/>
            <w:vAlign w:val="center"/>
            <w:shd w:fill="303841"/>
          </w:tcPr>
          <w:p>
            <w:pPr>
              <w:keepNext/>
              <w:spacing w:after="40" w:before="20" w:line="254" w:lineRule="auto"/>
            </w:pPr>
            <w:r>
              <w:rPr>
                <w:rFonts w:ascii="Arial" w:hAnsi="Arial"/>
                <w:b/>
                <w:color w:val="FFFFFF"/>
                <w:sz w:val="18"/>
              </w:rPr>
              <w:t>Evidencia de cierre</w:t>
            </w:r>
          </w:p>
        </w:tc>
      </w:tr>
      <w:tr>
        <w:trPr>
          <w:cantSplit/>
        </w:trPr>
        <w:tc>
          <w:tcPr>
            <w:tcW w:type="dxa" w:w="1944"/>
            <w:vAlign w:val="center"/>
            <w:shd w:fill="FFFFFF"/>
          </w:tcPr>
          <w:p>
            <w:pPr>
              <w:spacing w:after="40" w:before="20" w:line="254" w:lineRule="auto"/>
              <w:jc w:val="center"/>
            </w:pPr>
            <w:r>
              <w:rPr>
                <w:rFonts w:ascii="Arial" w:hAnsi="Arial"/>
                <w:sz w:val="18"/>
              </w:rPr>
              <w:t>1.1</w:t>
            </w:r>
          </w:p>
        </w:tc>
        <w:tc>
          <w:tcPr>
            <w:tcW w:type="dxa" w:w="3672"/>
            <w:vAlign w:val="center"/>
            <w:shd w:fill="FFFFFF"/>
          </w:tcPr>
          <w:p>
            <w:pPr>
              <w:spacing w:after="40" w:before="20" w:line="254" w:lineRule="auto"/>
            </w:pPr>
            <w:r>
              <w:rPr>
                <w:rFonts w:ascii="Arial" w:hAnsi="Arial"/>
                <w:sz w:val="18"/>
              </w:rPr>
              <w:t>Primera integración formal de unidades y resultados PHP/PWA</w:t>
            </w:r>
          </w:p>
        </w:tc>
        <w:tc>
          <w:tcPr>
            <w:tcW w:type="dxa" w:w="4022"/>
            <w:vAlign w:val="center"/>
            <w:shd w:fill="FFFFFF"/>
          </w:tcPr>
          <w:p>
            <w:pPr>
              <w:spacing w:after="40" w:before="20" w:line="254" w:lineRule="auto"/>
            </w:pPr>
            <w:r>
              <w:rPr>
                <w:rFonts w:ascii="Arial" w:hAnsi="Arial"/>
                <w:sz w:val="18"/>
              </w:rPr>
              <w:t>11 pruebas PHP, 94 aserciones y seis del worker</w:t>
            </w:r>
          </w:p>
        </w:tc>
      </w:tr>
      <w:tr>
        <w:trPr>
          <w:cantSplit/>
        </w:trPr>
        <w:tc>
          <w:tcPr>
            <w:tcW w:type="dxa" w:w="1944"/>
            <w:vAlign w:val="center"/>
            <w:shd w:fill="F2F4F6"/>
          </w:tcPr>
          <w:p>
            <w:pPr>
              <w:spacing w:after="40" w:before="20" w:line="254" w:lineRule="auto"/>
              <w:jc w:val="center"/>
            </w:pPr>
            <w:r>
              <w:rPr>
                <w:rFonts w:ascii="Arial" w:hAnsi="Arial"/>
                <w:sz w:val="18"/>
              </w:rPr>
              <w:t>1.2</w:t>
            </w:r>
          </w:p>
        </w:tc>
        <w:tc>
          <w:tcPr>
            <w:tcW w:type="dxa" w:w="3672"/>
            <w:vAlign w:val="center"/>
            <w:shd w:fill="F2F4F6"/>
          </w:tcPr>
          <w:p>
            <w:pPr>
              <w:spacing w:after="40" w:before="20" w:line="254" w:lineRule="auto"/>
            </w:pPr>
            <w:r>
              <w:rPr>
                <w:rFonts w:ascii="Arial" w:hAnsi="Arial"/>
                <w:sz w:val="18"/>
              </w:rPr>
              <w:t>Selección de Cypress/Selenium y workflow; registro de bloqueos</w:t>
            </w:r>
          </w:p>
        </w:tc>
        <w:tc>
          <w:tcPr>
            <w:tcW w:type="dxa" w:w="4022"/>
            <w:vAlign w:val="center"/>
            <w:shd w:fill="F2F4F6"/>
          </w:tcPr>
          <w:p>
            <w:pPr>
              <w:spacing w:after="40" w:before="20" w:line="254" w:lineRule="auto"/>
            </w:pPr>
            <w:r>
              <w:rPr>
                <w:rFonts w:ascii="Arial" w:hAnsi="Arial"/>
                <w:sz w:val="18"/>
              </w:rPr>
              <w:t>Scripts y reportes de intento local</w:t>
            </w:r>
          </w:p>
        </w:tc>
      </w:tr>
      <w:tr>
        <w:trPr>
          <w:cantSplit/>
        </w:trPr>
        <w:tc>
          <w:tcPr>
            <w:tcW w:type="dxa" w:w="1944"/>
            <w:vAlign w:val="center"/>
            <w:shd w:fill="FFFFFF"/>
          </w:tcPr>
          <w:p>
            <w:pPr>
              <w:spacing w:after="40" w:before="20" w:line="254" w:lineRule="auto"/>
              <w:jc w:val="center"/>
            </w:pPr>
            <w:r>
              <w:rPr>
                <w:rFonts w:ascii="Arial" w:hAnsi="Arial"/>
                <w:sz w:val="18"/>
              </w:rPr>
              <w:t>1.3</w:t>
            </w:r>
          </w:p>
        </w:tc>
        <w:tc>
          <w:tcPr>
            <w:tcW w:type="dxa" w:w="3672"/>
            <w:vAlign w:val="center"/>
            <w:shd w:fill="FFFFFF"/>
          </w:tcPr>
          <w:p>
            <w:pPr>
              <w:spacing w:after="40" w:before="20" w:line="254" w:lineRule="auto"/>
            </w:pPr>
            <w:r>
              <w:rPr>
                <w:rFonts w:ascii="Arial" w:hAnsi="Arial"/>
                <w:sz w:val="18"/>
              </w:rPr>
              <w:t>Roles confirmados, tablero publicado, recuperación corregida y campaña CI aprobada</w:t>
            </w:r>
          </w:p>
        </w:tc>
        <w:tc>
          <w:tcPr>
            <w:tcW w:type="dxa" w:w="4022"/>
            <w:vAlign w:val="center"/>
            <w:shd w:fill="FFFFFF"/>
          </w:tcPr>
          <w:p>
            <w:pPr>
              <w:spacing w:after="40" w:before="20" w:line="254" w:lineRule="auto"/>
            </w:pPr>
            <w:r>
              <w:rPr>
                <w:rFonts w:ascii="Arial" w:hAnsi="Arial"/>
                <w:sz w:val="18"/>
              </w:rPr>
              <w:t>14 PHP, seis PWA, siete Cypress y cuatro Selenium; XML/JSON y capturas</w:t>
            </w:r>
          </w:p>
        </w:tc>
      </w:tr>
    </w:tbl>
    <w:p>
      <w:pPr>
        <w:spacing w:after="80" w:line="40" w:lineRule="exact"/>
      </w:pPr>
      <w:r>
        <w:rPr>
          <w:sz w:val="4"/>
        </w:rPr>
      </w:r>
    </w:p>
    <w:p>
      <w:pPr>
        <w:pStyle w:val="Heading2"/>
      </w:pPr>
      <w:r>
        <w:t>Alcance</w:t>
      </w:r>
    </w:p>
    <w:p>
      <w:r>
        <w:t>Incluidos: autenticación y permisos; catálogo; carrito; creación/consulta/cancelación de pedidos; cambios de estado; creación/edición/desactivación/reactivación de productos; confirmaciones; primera PWA y vista móvil.</w:t>
      </w:r>
    </w:p>
    <w:p>
      <w:r>
        <w:t>Fuera de la funcionalidad actual: pago online, entrega a domicilio, aplicación nativa/APK, notificaciones push y envío offline de pedidos. Recuperación de contraseña: entrega de enlaces en log para demostración; controles de caducidad, hash, uso único y limitación de solicitudes verificados. El correo de producción no forma parte de esta entrega.</w:t>
      </w:r>
    </w:p>
    <w:p>
      <w:pPr>
        <w:pStyle w:val="Heading2"/>
      </w:pPr>
      <w:r>
        <w:t>Estrategia y herramientas</w:t>
      </w:r>
    </w:p>
    <w:p>
      <w:pPr>
        <w:pStyle w:val="ListBullet"/>
      </w:pPr>
      <w:r>
        <w:t>Revisión estática: requisitos, formularios, controladores, reglas de permisos y pruebas.</w:t>
      </w:r>
    </w:p>
    <w:p>
      <w:pPr>
        <w:pStyle w:val="ListBullet"/>
      </w:pPr>
      <w:r>
        <w:t>Integración/backend: PHPUnit con SQLite en memoria para aislar datos de prueba.</w:t>
      </w:r>
    </w:p>
    <w:p>
      <w:pPr>
        <w:pStyle w:val="ListBullet"/>
      </w:pPr>
      <w:r>
        <w:t>Componentes PWA: pruebas JavaScript del worker con entorno simulado; no equivalen a instalación real en teléfono.</w:t>
      </w:r>
    </w:p>
    <w:p>
      <w:pPr>
        <w:pStyle w:val="ListBullet"/>
      </w:pPr>
      <w:r>
        <w:t>Sistema/aceptación: recorridos completos desde navegador con cuentas de cada rol.</w:t>
      </w:r>
    </w:p>
    <w:p>
      <w:pPr>
        <w:pStyle w:val="ListBullet"/>
      </w:pPr>
      <w:r>
        <w:t>Regresión: repetir pruebas críticas tras corregir defectos.</w:t>
      </w:r>
    </w:p>
    <w:p>
      <w:pPr>
        <w:pStyle w:val="ListBullet"/>
      </w:pPr>
      <w:r>
        <w:t>Exploración/no funcionales: teclado, tamaños móviles, desconexión, privacidad y compatibilidad.</w:t>
      </w:r>
    </w:p>
    <w:p>
      <w:pPr>
        <w:pStyle w:val="ListBullet"/>
      </w:pPr>
      <w:r>
        <w:t>Rendimiento/estrés: diseñar objetivos y carga medibles antes de ejecutar; aún no realizados.</w:t>
      </w:r>
    </w:p>
    <w:p>
      <w:r>
        <w:t>Herramientas utilizadas: Git/GitHub para versionado y seguimiento, PHPUnit para backend, Node test runner para el worker, Cypress y Selenium para navegador y Vite para compilación.</w:t>
      </w:r>
    </w:p>
    <w:p>
      <w:r>
        <w:t>Dos herramientas de la lista del PDF: Cypress 16.2.0 y Selenium WebDriver 4.51.0. Cypress reúne siete casos de autenticación, permisos, confirmación, carrito y vista móvil. Selenium ejecuta cuatro verificaciones de login, carrito, confirmación y adaptación móvil en Chrome real. Usar ambas permite comparar la ejecución integrada de Cypress con el control mediante WebDriver; el catálogo de casos conserva la trazabilidad común. La gestión del backlog se documenta por separado y no se atribuye a estas herramientas.</w:t>
      </w:r>
    </w:p>
    <w:p>
      <w:r>
        <w:t>La campaña final en Ubuntu de GitHub Actions aprobó 14 pruebas PHP con 110 aserciones, seis pruebas del worker, siete pruebas de Cypress y cuatro de Selenium. Código verificado: 14774aa01fc7d735df3a5dc9e6b65cdff87d1f32. Ejecución: https://github.com/ifrancro/UniFood/actions/runs/40628543184. Cada suite conserva su resultado; las 31 pruebas ejecutadas no equivalen a cobertura del 100 por ciento del producto.</w:t>
      </w:r>
    </w:p>
    <w:p>
      <w:r>
        <w:t>Los intentos iniciales permitieron corregir dos problemas de la automatización: instalación explícita del binario Cypress debido a ignore-scripts y aislamiento de cada caso Selenium en una sesión nueva. Los fallos iniciales y el cierre aprobado se conservan en el historial del PR. El bloqueo del navegador local se superó ejecutando la campaña en CI; la prueba de instalación en un teléfono físico sigue fuera de esta evidencia.</w:t>
      </w:r>
    </w:p>
    <w:p>
      <w:r>
        <w:t>CI instala PHP 8.4 y Node 22, compila la interfaz, prepara una base SQLite exclusiva, ejecuta las cuatro suites y conserva XML JUnit, JSON y capturas como artefactos. La configuración quedó publicada en .github/workflows/calidad.yml dentro del PR 1. Su resultado final está aprobado y es verificable en el enlace anterior.</w:t>
      </w:r>
    </w:p>
    <w:p>
      <w:pPr>
        <w:pStyle w:val="Heading2"/>
      </w:pPr>
      <w:r>
        <w:t>Roles</w:t>
      </w:r>
    </w:p>
    <w:p>
      <w:r>
        <w:t>La distribución de responsabilidades se presenta en el apartado de organización con Scrum. Las revisiones e inspecciones se asignarán, cuando sea posible, a un integrante distinto del autor del cambio. Cada ejecución identificará a su responsable.</w:t>
      </w:r>
    </w:p>
    <w:p>
      <w:pPr>
        <w:pStyle w:val="Heading2"/>
      </w:pPr>
      <w:r>
        <w:t>Ciclo de vida de pruebas en el sprint</w:t>
      </w:r>
    </w:p>
    <w:p>
      <w:r>
        <w:t>Refinamiento: analizar riesgos y acordar criterios. Planning: seleccionar casos e identificar automatización. Implementación: diseñar/ejecutar pruebas y revisar cambios. Integración: ejecutar regresión y corregir. Review: demostrar resultados y recoger comentarios. Retrospectiva: proponer mejoras basadas en fallos, demoras y claridad de requisitos.</w:t>
      </w:r>
    </w:p>
    <w:p>
      <w:pPr>
        <w:pStyle w:val="Heading2"/>
      </w:pPr>
      <w:r>
        <w:t>Entrada, salida y suspensión</w:t>
      </w:r>
    </w:p>
    <w:p>
      <w:r>
        <w:t>Entrada: código identificable por commit; dependencias compatibles; entorno separado de datos que se quieran conservar; cuentas y datos de prueba; criterios y casos listos.</w:t>
      </w:r>
    </w:p>
    <w:p>
      <w:r>
        <w:t>Salida propuesta: casos críticos ejecutados y aprobados; regresión aprobada; hallazgos registrados y atendidos; evidencias adjuntas; limitaciones declaradas; revisión de aceptación pendiente o realizada con nombre y fecha de revisión.</w:t>
      </w:r>
    </w:p>
    <w:p>
      <w:r>
        <w:t>Suspender ante entorno corrupto, versión PHP incompatible, datos de prueba no aislados o error que impida iniciar sesión. Corregir el impedimento y reejecutar los casos afectados. No borrar la base de trabajo para intentar resolver un problema de pruebas.</w:t>
      </w:r>
    </w:p>
    <w:p>
      <w:pPr>
        <w:pStyle w:val="Heading2"/>
      </w:pPr>
      <w:r>
        <w:t>Métricas y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944"/>
        <w:gridCol w:w="3672"/>
        <w:gridCol w:w="4022"/>
      </w:tblGrid>
      <w:tr>
        <w:trPr>
          <w:cantSplit/>
          <w:tblHeader/>
        </w:trPr>
        <w:tc>
          <w:tcPr>
            <w:tcW w:type="dxa" w:w="1944"/>
            <w:vAlign w:val="center"/>
            <w:shd w:fill="303841"/>
          </w:tcPr>
          <w:p>
            <w:pPr>
              <w:keepNext/>
              <w:spacing w:after="40" w:before="20" w:line="254" w:lineRule="auto"/>
              <w:jc w:val="center"/>
            </w:pPr>
            <w:r>
              <w:rPr>
                <w:rFonts w:ascii="Arial" w:hAnsi="Arial"/>
                <w:b/>
                <w:color w:val="FFFFFF"/>
                <w:sz w:val="18"/>
              </w:rPr>
              <w:t>Métrica</w:t>
            </w:r>
          </w:p>
        </w:tc>
        <w:tc>
          <w:tcPr>
            <w:tcW w:type="dxa" w:w="3672"/>
            <w:vAlign w:val="center"/>
            <w:shd w:fill="303841"/>
          </w:tcPr>
          <w:p>
            <w:pPr>
              <w:keepNext/>
              <w:spacing w:after="40" w:before="20" w:line="254" w:lineRule="auto"/>
            </w:pPr>
            <w:r>
              <w:rPr>
                <w:rFonts w:ascii="Arial" w:hAnsi="Arial"/>
                <w:b/>
                <w:color w:val="FFFFFF"/>
                <w:sz w:val="18"/>
              </w:rPr>
              <w:t>Cálculo/registro</w:t>
            </w:r>
          </w:p>
        </w:tc>
        <w:tc>
          <w:tcPr>
            <w:tcW w:type="dxa" w:w="4022"/>
            <w:vAlign w:val="center"/>
            <w:shd w:fill="303841"/>
          </w:tcPr>
          <w:p>
            <w:pPr>
              <w:keepNext/>
              <w:spacing w:after="40" w:before="20" w:line="254" w:lineRule="auto"/>
            </w:pPr>
            <w:r>
              <w:rPr>
                <w:rFonts w:ascii="Arial" w:hAnsi="Arial"/>
                <w:b/>
                <w:color w:val="FFFFFF"/>
                <w:sz w:val="18"/>
              </w:rPr>
              <w:t>Situación</w:t>
            </w:r>
          </w:p>
        </w:tc>
      </w:tr>
      <w:tr>
        <w:trPr>
          <w:cantSplit/>
        </w:trPr>
        <w:tc>
          <w:tcPr>
            <w:tcW w:type="dxa" w:w="1944"/>
            <w:vAlign w:val="center"/>
            <w:shd w:fill="FFFFFF"/>
          </w:tcPr>
          <w:p>
            <w:pPr>
              <w:spacing w:after="40" w:before="20" w:line="254" w:lineRule="auto"/>
              <w:jc w:val="center"/>
            </w:pPr>
            <w:r>
              <w:rPr>
                <w:rFonts w:ascii="Arial" w:hAnsi="Arial"/>
                <w:sz w:val="18"/>
              </w:rPr>
              <w:t>Tasa de aprobación</w:t>
            </w:r>
          </w:p>
        </w:tc>
        <w:tc>
          <w:tcPr>
            <w:tcW w:type="dxa" w:w="3672"/>
            <w:vAlign w:val="center"/>
            <w:shd w:fill="FFFFFF"/>
          </w:tcPr>
          <w:p>
            <w:pPr>
              <w:spacing w:after="40" w:before="20" w:line="254" w:lineRule="auto"/>
            </w:pPr>
            <w:r>
              <w:rPr>
                <w:rFonts w:ascii="Arial" w:hAnsi="Arial"/>
                <w:sz w:val="18"/>
              </w:rPr>
              <w:t>Aprobados / ejecutados × 100, por suite y ejecución</w:t>
            </w:r>
          </w:p>
        </w:tc>
        <w:tc>
          <w:tcPr>
            <w:tcW w:type="dxa" w:w="4022"/>
            <w:vAlign w:val="center"/>
            <w:shd w:fill="FFFFFF"/>
          </w:tcPr>
          <w:p>
            <w:pPr>
              <w:spacing w:after="40" w:before="20" w:line="254" w:lineRule="auto"/>
            </w:pPr>
            <w:r>
              <w:rPr>
                <w:rFonts w:ascii="Arial" w:hAnsi="Arial"/>
                <w:sz w:val="18"/>
              </w:rPr>
              <w:t>Ejecución del 27 de octubre de 2026: 14/14 pruebas aprobadas y 110 aserciones. Commit 14774aa01fc7</w:t>
            </w:r>
          </w:p>
        </w:tc>
      </w:tr>
      <w:tr>
        <w:trPr>
          <w:cantSplit/>
        </w:trPr>
        <w:tc>
          <w:tcPr>
            <w:tcW w:type="dxa" w:w="1944"/>
            <w:vAlign w:val="center"/>
            <w:shd w:fill="F2F4F6"/>
          </w:tcPr>
          <w:p>
            <w:pPr>
              <w:spacing w:after="40" w:before="20" w:line="254" w:lineRule="auto"/>
              <w:jc w:val="center"/>
            </w:pPr>
            <w:r>
              <w:rPr>
                <w:rFonts w:ascii="Arial" w:hAnsi="Arial"/>
                <w:sz w:val="18"/>
              </w:rPr>
              <w:t>Resultado PWA</w:t>
            </w:r>
          </w:p>
        </w:tc>
        <w:tc>
          <w:tcPr>
            <w:tcW w:type="dxa" w:w="3672"/>
            <w:vAlign w:val="center"/>
            <w:shd w:fill="F2F4F6"/>
          </w:tcPr>
          <w:p>
            <w:pPr>
              <w:spacing w:after="40" w:before="20" w:line="254" w:lineRule="auto"/>
            </w:pPr>
            <w:r>
              <w:rPr>
                <w:rFonts w:ascii="Arial" w:hAnsi="Arial"/>
                <w:sz w:val="18"/>
              </w:rPr>
              <w:t>Aprobados/ejecutados, separado de PHPUnit</w:t>
            </w:r>
          </w:p>
        </w:tc>
        <w:tc>
          <w:tcPr>
            <w:tcW w:type="dxa" w:w="4022"/>
            <w:vAlign w:val="center"/>
            <w:shd w:fill="F2F4F6"/>
          </w:tcPr>
          <w:p>
            <w:pPr>
              <w:spacing w:after="40" w:before="20" w:line="254" w:lineRule="auto"/>
            </w:pPr>
            <w:r>
              <w:rPr>
                <w:rFonts w:ascii="Arial" w:hAnsi="Arial"/>
                <w:sz w:val="18"/>
              </w:rPr>
              <w:t>Ejecución del 27 de octubre de 2026: 6/6 pruebas aprobadas en entorno simulado</w:t>
            </w:r>
          </w:p>
        </w:tc>
      </w:tr>
      <w:tr>
        <w:trPr>
          <w:cantSplit/>
        </w:trPr>
        <w:tc>
          <w:tcPr>
            <w:tcW w:type="dxa" w:w="1944"/>
            <w:vAlign w:val="center"/>
            <w:shd w:fill="FFFFFF"/>
          </w:tcPr>
          <w:p>
            <w:pPr>
              <w:spacing w:after="40" w:before="20" w:line="254" w:lineRule="auto"/>
            </w:pPr>
            <w:r>
              <w:rPr>
                <w:rFonts w:ascii="Arial" w:hAnsi="Arial"/>
                <w:sz w:val="18"/>
              </w:rPr>
              <w:t>Resultado de navegador</w:t>
            </w:r>
          </w:p>
        </w:tc>
        <w:tc>
          <w:tcPr>
            <w:tcW w:type="dxa" w:w="3672"/>
            <w:vAlign w:val="center"/>
            <w:shd w:fill="FFFFFF"/>
          </w:tcPr>
          <w:p>
            <w:pPr>
              <w:spacing w:after="40" w:before="20" w:line="254" w:lineRule="auto"/>
            </w:pPr>
            <w:r>
              <w:rPr>
                <w:rFonts w:ascii="Arial" w:hAnsi="Arial"/>
                <w:sz w:val="18"/>
              </w:rPr>
              <w:t>Aprobados / ejecutados por herramienta</w:t>
            </w:r>
          </w:p>
        </w:tc>
        <w:tc>
          <w:tcPr>
            <w:tcW w:type="dxa" w:w="4022"/>
            <w:vAlign w:val="center"/>
            <w:shd w:fill="FFFFFF"/>
          </w:tcPr>
          <w:p>
            <w:pPr>
              <w:spacing w:after="40" w:before="20" w:line="254" w:lineRule="auto"/>
            </w:pPr>
            <w:r>
              <w:rPr>
                <w:rFonts w:ascii="Arial" w:hAnsi="Arial"/>
                <w:sz w:val="18"/>
              </w:rPr>
              <w:t>Cypress 7/7 y Selenium 4/4; campaña CI 40628543184 aprobada</w:t>
            </w:r>
          </w:p>
        </w:tc>
      </w:tr>
      <w:tr>
        <w:trPr>
          <w:cantSplit/>
        </w:trPr>
        <w:tc>
          <w:tcPr>
            <w:tcW w:type="dxa" w:w="1944"/>
            <w:vAlign w:val="center"/>
            <w:shd w:fill="F2F4F6"/>
          </w:tcPr>
          <w:p>
            <w:pPr>
              <w:spacing w:after="40" w:before="20" w:line="254" w:lineRule="auto"/>
            </w:pPr>
            <w:r>
              <w:rPr>
                <w:rFonts w:ascii="Arial" w:hAnsi="Arial"/>
                <w:sz w:val="18"/>
              </w:rPr>
              <w:t>Cobertura de requisitos</w:t>
            </w:r>
          </w:p>
        </w:tc>
        <w:tc>
          <w:tcPr>
            <w:tcW w:type="dxa" w:w="3672"/>
            <w:vAlign w:val="center"/>
            <w:shd w:fill="F2F4F6"/>
          </w:tcPr>
          <w:p>
            <w:pPr>
              <w:spacing w:after="40" w:before="20" w:line="254" w:lineRule="auto"/>
            </w:pPr>
            <w:r>
              <w:rPr>
                <w:rFonts w:ascii="Arial" w:hAnsi="Arial"/>
                <w:sz w:val="18"/>
              </w:rPr>
              <w:t>RF con al menos un caso ejecutado / RF incluidos</w:t>
            </w:r>
          </w:p>
        </w:tc>
        <w:tc>
          <w:tcPr>
            <w:tcW w:type="dxa" w:w="4022"/>
            <w:vAlign w:val="center"/>
            <w:shd w:fill="F2F4F6"/>
          </w:tcPr>
          <w:p>
            <w:pPr>
              <w:spacing w:after="40" w:before="20" w:line="254" w:lineRule="auto"/>
            </w:pPr>
            <w:r>
              <w:rPr>
                <w:rFonts w:ascii="Arial" w:hAnsi="Arial"/>
                <w:sz w:val="18"/>
              </w:rPr>
              <w:t>Pendiente de completar resultados y trazabilidad</w:t>
            </w:r>
          </w:p>
        </w:tc>
      </w:tr>
      <w:tr>
        <w:trPr>
          <w:cantSplit/>
        </w:trPr>
        <w:tc>
          <w:tcPr>
            <w:tcW w:type="dxa" w:w="1944"/>
            <w:vAlign w:val="center"/>
            <w:shd w:fill="FFFFFF"/>
          </w:tcPr>
          <w:p>
            <w:pPr>
              <w:spacing w:after="40" w:before="20" w:line="254" w:lineRule="auto"/>
              <w:jc w:val="center"/>
            </w:pPr>
            <w:r>
              <w:rPr>
                <w:rFonts w:ascii="Arial" w:hAnsi="Arial"/>
                <w:sz w:val="18"/>
              </w:rPr>
              <w:t>Cobertura de código</w:t>
            </w:r>
          </w:p>
        </w:tc>
        <w:tc>
          <w:tcPr>
            <w:tcW w:type="dxa" w:w="3672"/>
            <w:vAlign w:val="center"/>
            <w:shd w:fill="FFFFFF"/>
          </w:tcPr>
          <w:p>
            <w:pPr>
              <w:spacing w:after="40" w:before="20" w:line="254" w:lineRule="auto"/>
            </w:pPr>
            <w:r>
              <w:rPr>
                <w:rFonts w:ascii="Arial" w:hAnsi="Arial"/>
                <w:sz w:val="18"/>
              </w:rPr>
              <w:t>Sentencias/ramas ejecutadas con instrumentación</w:t>
            </w:r>
          </w:p>
        </w:tc>
        <w:tc>
          <w:tcPr>
            <w:tcW w:type="dxa" w:w="4022"/>
            <w:vAlign w:val="center"/>
            <w:shd w:fill="FFFFFF"/>
          </w:tcPr>
          <w:p>
            <w:pPr>
              <w:spacing w:after="40" w:before="20" w:line="254" w:lineRule="auto"/>
            </w:pPr>
            <w:r>
              <w:rPr>
                <w:rFonts w:ascii="Arial" w:hAnsi="Arial"/>
                <w:sz w:val="18"/>
              </w:rPr>
              <w:t>No medida; aprobar todas las pruebas no equivale a 100% de cobertura</w:t>
            </w:r>
          </w:p>
        </w:tc>
      </w:tr>
      <w:tr>
        <w:trPr>
          <w:cantSplit/>
        </w:trPr>
        <w:tc>
          <w:tcPr>
            <w:tcW w:type="dxa" w:w="1944"/>
            <w:vAlign w:val="center"/>
            <w:shd w:fill="F2F4F6"/>
          </w:tcPr>
          <w:p>
            <w:pPr>
              <w:spacing w:after="40" w:before="20" w:line="254" w:lineRule="auto"/>
              <w:jc w:val="center"/>
            </w:pPr>
            <w:r>
              <w:rPr>
                <w:rFonts w:ascii="Arial" w:hAnsi="Arial"/>
                <w:sz w:val="18"/>
              </w:rPr>
              <w:t>Defectos</w:t>
            </w:r>
          </w:p>
        </w:tc>
        <w:tc>
          <w:tcPr>
            <w:tcW w:type="dxa" w:w="3672"/>
            <w:vAlign w:val="center"/>
            <w:shd w:fill="F2F4F6"/>
          </w:tcPr>
          <w:p>
            <w:pPr>
              <w:spacing w:after="40" w:before="20" w:line="254" w:lineRule="auto"/>
            </w:pPr>
            <w:r>
              <w:rPr>
                <w:rFonts w:ascii="Arial" w:hAnsi="Arial"/>
                <w:sz w:val="18"/>
              </w:rPr>
              <w:t>Abiertos/cerrados/reabiertos por severidad, fecha y versión</w:t>
            </w:r>
          </w:p>
        </w:tc>
        <w:tc>
          <w:tcPr>
            <w:tcW w:type="dxa" w:w="4022"/>
            <w:vAlign w:val="center"/>
            <w:shd w:fill="F2F4F6"/>
          </w:tcPr>
          <w:p>
            <w:pPr>
              <w:spacing w:after="40" w:before="20" w:line="254" w:lineRule="auto"/>
            </w:pPr>
            <w:r>
              <w:rPr>
                <w:rFonts w:ascii="Arial" w:hAnsi="Arial"/>
                <w:sz w:val="18"/>
              </w:rPr>
              <w:t>Tres defectos corregidos: dos de casillas y uno de tokens; regresión aprobada</w:t>
            </w:r>
          </w:p>
        </w:tc>
      </w:tr>
      <w:tr>
        <w:trPr>
          <w:cantSplit/>
        </w:trPr>
        <w:tc>
          <w:tcPr>
            <w:tcW w:type="dxa" w:w="1944"/>
            <w:vAlign w:val="center"/>
            <w:shd w:fill="FFFFFF"/>
          </w:tcPr>
          <w:p>
            <w:pPr>
              <w:spacing w:after="40" w:before="20" w:line="254" w:lineRule="auto"/>
              <w:jc w:val="center"/>
            </w:pPr>
            <w:r>
              <w:rPr>
                <w:rFonts w:ascii="Arial" w:hAnsi="Arial"/>
                <w:sz w:val="18"/>
              </w:rPr>
              <w:t>Mejora del proceso</w:t>
            </w:r>
          </w:p>
        </w:tc>
        <w:tc>
          <w:tcPr>
            <w:tcW w:type="dxa" w:w="3672"/>
            <w:vAlign w:val="center"/>
            <w:shd w:fill="FFFFFF"/>
          </w:tcPr>
          <w:p>
            <w:pPr>
              <w:spacing w:after="40" w:before="20" w:line="254" w:lineRule="auto"/>
            </w:pPr>
            <w:r>
              <w:rPr>
                <w:rFonts w:ascii="Arial" w:hAnsi="Arial"/>
                <w:sz w:val="18"/>
              </w:rPr>
              <w:t>Acciones de retrospectiva completadas / acordadas</w:t>
            </w:r>
          </w:p>
        </w:tc>
        <w:tc>
          <w:tcPr>
            <w:tcW w:type="dxa" w:w="4022"/>
            <w:vAlign w:val="center"/>
            <w:shd w:fill="FFFFFF"/>
          </w:tcPr>
          <w:p>
            <w:pPr>
              <w:spacing w:after="40" w:before="20" w:line="254" w:lineRule="auto"/>
            </w:pPr>
            <w:r>
              <w:rPr>
                <w:rFonts w:ascii="Arial" w:hAnsi="Arial"/>
                <w:sz w:val="18"/>
              </w:rPr>
              <w:t>Pendiente: aún no se registró retrospectiva</w:t>
            </w:r>
          </w:p>
        </w:tc>
      </w:tr>
      <w:tr>
        <w:trPr>
          <w:cantSplit/>
        </w:trPr>
        <w:tc>
          <w:tcPr>
            <w:tcW w:type="dxa" w:w="1944"/>
            <w:vAlign w:val="center"/>
            <w:shd w:fill="F2F4F6"/>
          </w:tcPr>
          <w:p>
            <w:pPr>
              <w:spacing w:after="40" w:before="20" w:line="254" w:lineRule="auto"/>
              <w:jc w:val="center"/>
            </w:pPr>
            <w:r>
              <w:rPr>
                <w:rFonts w:ascii="Arial" w:hAnsi="Arial"/>
                <w:sz w:val="18"/>
              </w:rPr>
              <w:t>Velocidad</w:t>
            </w:r>
          </w:p>
        </w:tc>
        <w:tc>
          <w:tcPr>
            <w:tcW w:type="dxa" w:w="3672"/>
            <w:vAlign w:val="center"/>
            <w:shd w:fill="F2F4F6"/>
          </w:tcPr>
          <w:p>
            <w:pPr>
              <w:spacing w:after="40" w:before="20" w:line="254" w:lineRule="auto"/>
            </w:pPr>
            <w:r>
              <w:rPr>
                <w:rFonts w:ascii="Arial" w:hAnsi="Arial"/>
                <w:sz w:val="18"/>
              </w:rPr>
              <w:t>Puntos terminados por sprint con un mismo criterio de estimación</w:t>
            </w:r>
          </w:p>
        </w:tc>
        <w:tc>
          <w:tcPr>
            <w:tcW w:type="dxa" w:w="4022"/>
            <w:vAlign w:val="center"/>
            <w:shd w:fill="F2F4F6"/>
          </w:tcPr>
          <w:p>
            <w:pPr>
              <w:spacing w:after="40" w:before="20" w:line="254" w:lineRule="auto"/>
            </w:pPr>
            <w:r>
              <w:rPr>
                <w:rFonts w:ascii="Arial" w:hAnsi="Arial"/>
                <w:sz w:val="18"/>
              </w:rPr>
              <w:t>No disponible; no hay sprints previos documentados</w:t>
            </w:r>
          </w:p>
        </w:tc>
      </w:tr>
    </w:tbl>
    <w:p>
      <w:pPr>
        <w:spacing w:after="80" w:line="40" w:lineRule="exact"/>
      </w:pPr>
      <w:r>
        <w:rPr>
          <w:sz w:val="4"/>
        </w:rPr>
      </w:r>
    </w:p>
    <w:p>
      <w:r>
        <w:t>Las tasas de aprobación se interpretan por suite y versión. La cobertura global del producto requiere medir requisitos y código por separado.</w:t>
      </w:r>
    </w:p>
    <w:p>
      <w:pPr>
        <w:pStyle w:val="Heading2"/>
      </w:pPr>
      <w:r>
        <w:t>Riesgos y mitigación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872"/>
        <w:gridCol w:w="7766"/>
      </w:tblGrid>
      <w:tr>
        <w:trPr>
          <w:cantSplit/>
          <w:tblHeader/>
        </w:trPr>
        <w:tc>
          <w:tcPr>
            <w:tcW w:type="dxa" w:w="1872"/>
            <w:vAlign w:val="center"/>
            <w:shd w:fill="303841"/>
          </w:tcPr>
          <w:p>
            <w:pPr>
              <w:keepNext/>
              <w:spacing w:after="40" w:before="20" w:line="254" w:lineRule="auto"/>
              <w:jc w:val="center"/>
            </w:pPr>
            <w:r>
              <w:rPr>
                <w:rFonts w:ascii="Arial" w:hAnsi="Arial"/>
                <w:b/>
                <w:color w:val="FFFFFF"/>
                <w:sz w:val="18"/>
              </w:rPr>
              <w:t>Riesgo</w:t>
            </w:r>
          </w:p>
        </w:tc>
        <w:tc>
          <w:tcPr>
            <w:tcW w:type="dxa" w:w="7766"/>
            <w:vAlign w:val="center"/>
            <w:shd w:fill="303841"/>
          </w:tcPr>
          <w:p>
            <w:pPr>
              <w:keepNext/>
              <w:spacing w:after="40" w:before="20" w:line="254" w:lineRule="auto"/>
            </w:pPr>
            <w:r>
              <w:rPr>
                <w:rFonts w:ascii="Arial" w:hAnsi="Arial"/>
                <w:b/>
                <w:color w:val="FFFFFF"/>
                <w:sz w:val="18"/>
              </w:rPr>
              <w:t>Tratamiento propuesto</w:t>
            </w:r>
          </w:p>
        </w:tc>
      </w:tr>
      <w:tr>
        <w:trPr>
          <w:cantSplit/>
        </w:trPr>
        <w:tc>
          <w:tcPr>
            <w:tcW w:type="dxa" w:w="1872"/>
            <w:vAlign w:val="center"/>
            <w:shd w:fill="FFFFFF"/>
          </w:tcPr>
          <w:p>
            <w:pPr>
              <w:spacing w:after="40" w:before="20" w:line="254" w:lineRule="auto"/>
            </w:pPr>
            <w:r>
              <w:rPr>
                <w:rFonts w:ascii="Arial" w:hAnsi="Arial"/>
                <w:sz w:val="18"/>
              </w:rPr>
              <w:t>PHP incompatible con composer.lock</w:t>
            </w:r>
          </w:p>
        </w:tc>
        <w:tc>
          <w:tcPr>
            <w:tcW w:type="dxa" w:w="7766"/>
            <w:vAlign w:val="center"/>
            <w:shd w:fill="FFFFFF"/>
          </w:tcPr>
          <w:p>
            <w:pPr>
              <w:spacing w:after="40" w:before="20" w:line="254" w:lineRule="auto"/>
            </w:pPr>
            <w:r>
              <w:rPr>
                <w:rFonts w:ascii="Arial" w:hAnsi="Arial"/>
                <w:sz w:val="18"/>
              </w:rPr>
              <w:t>Documentar PHP &gt;=8.4.1 y verificar requisitos de plataforma</w:t>
            </w:r>
          </w:p>
        </w:tc>
      </w:tr>
      <w:tr>
        <w:trPr>
          <w:cantSplit/>
        </w:trPr>
        <w:tc>
          <w:tcPr>
            <w:tcW w:type="dxa" w:w="1872"/>
            <w:vAlign w:val="center"/>
            <w:shd w:fill="F2F4F6"/>
          </w:tcPr>
          <w:p>
            <w:pPr>
              <w:spacing w:after="40" w:before="20" w:line="254" w:lineRule="auto"/>
            </w:pPr>
            <w:r>
              <w:rPr>
                <w:rFonts w:ascii="Arial" w:hAnsi="Arial"/>
                <w:sz w:val="18"/>
              </w:rPr>
              <w:t>Casos que afecten datos reales</w:t>
            </w:r>
          </w:p>
        </w:tc>
        <w:tc>
          <w:tcPr>
            <w:tcW w:type="dxa" w:w="7766"/>
            <w:vAlign w:val="center"/>
            <w:shd w:fill="F2F4F6"/>
          </w:tcPr>
          <w:p>
            <w:pPr>
              <w:spacing w:after="40" w:before="20" w:line="254" w:lineRule="auto"/>
            </w:pPr>
            <w:r>
              <w:rPr>
                <w:rFonts w:ascii="Arial" w:hAnsi="Arial"/>
                <w:sz w:val="18"/>
              </w:rPr>
              <w:t>SQLite en memoria para automatización; datos de demo identificados para manuales</w:t>
            </w:r>
          </w:p>
        </w:tc>
      </w:tr>
      <w:tr>
        <w:trPr>
          <w:cantSplit/>
        </w:trPr>
        <w:tc>
          <w:tcPr>
            <w:tcW w:type="dxa" w:w="1872"/>
            <w:vAlign w:val="center"/>
            <w:shd w:fill="FFFFFF"/>
          </w:tcPr>
          <w:p>
            <w:pPr>
              <w:spacing w:after="40" w:before="20" w:line="254" w:lineRule="auto"/>
              <w:jc w:val="center"/>
            </w:pPr>
            <w:r>
              <w:rPr>
                <w:rFonts w:ascii="Arial" w:hAnsi="Arial"/>
                <w:sz w:val="18"/>
              </w:rPr>
              <w:t>Falta de trazabilidad</w:t>
            </w:r>
          </w:p>
        </w:tc>
        <w:tc>
          <w:tcPr>
            <w:tcW w:type="dxa" w:w="7766"/>
            <w:vAlign w:val="center"/>
            <w:shd w:fill="FFFFFF"/>
          </w:tcPr>
          <w:p>
            <w:pPr>
              <w:spacing w:after="40" w:before="20" w:line="254" w:lineRule="auto"/>
            </w:pPr>
            <w:r>
              <w:rPr>
                <w:rFonts w:ascii="Arial" w:hAnsi="Arial"/>
                <w:sz w:val="18"/>
              </w:rPr>
              <w:t>Asignar IDs RF/HU/CP/DEF y enlazar resultados y commit</w:t>
            </w:r>
          </w:p>
        </w:tc>
      </w:tr>
      <w:tr>
        <w:trPr>
          <w:cantSplit/>
        </w:trPr>
        <w:tc>
          <w:tcPr>
            <w:tcW w:type="dxa" w:w="1872"/>
            <w:vAlign w:val="center"/>
            <w:shd w:fill="F2F4F6"/>
          </w:tcPr>
          <w:p>
            <w:pPr>
              <w:spacing w:after="40" w:before="20" w:line="254" w:lineRule="auto"/>
            </w:pPr>
            <w:r>
              <w:rPr>
                <w:rFonts w:ascii="Arial" w:hAnsi="Arial"/>
                <w:sz w:val="18"/>
              </w:rPr>
              <w:t>PWA probada solo en emulación</w:t>
            </w:r>
          </w:p>
        </w:tc>
        <w:tc>
          <w:tcPr>
            <w:tcW w:type="dxa" w:w="7766"/>
            <w:vAlign w:val="center"/>
            <w:shd w:fill="F2F4F6"/>
          </w:tcPr>
          <w:p>
            <w:pPr>
              <w:spacing w:after="40" w:before="20" w:line="254" w:lineRule="auto"/>
            </w:pPr>
            <w:r>
              <w:rPr>
                <w:rFonts w:ascii="Arial" w:hAnsi="Arial"/>
                <w:sz w:val="18"/>
              </w:rPr>
              <w:t>Ejecutar instalación con HTTPS en teléfono real y registrar dispositivo/navegador</w:t>
            </w:r>
          </w:p>
        </w:tc>
      </w:tr>
      <w:tr>
        <w:trPr>
          <w:cantSplit/>
        </w:trPr>
        <w:tc>
          <w:tcPr>
            <w:tcW w:type="dxa" w:w="1872"/>
            <w:vAlign w:val="center"/>
            <w:shd w:fill="FFFFFF"/>
          </w:tcPr>
          <w:p>
            <w:pPr>
              <w:spacing w:after="40" w:before="20" w:line="254" w:lineRule="auto"/>
            </w:pPr>
            <w:r>
              <w:rPr>
                <w:rFonts w:ascii="Arial" w:hAnsi="Arial"/>
                <w:sz w:val="18"/>
              </w:rPr>
              <w:t>Poca cobertura negativa y de concurrencia</w:t>
            </w:r>
          </w:p>
        </w:tc>
        <w:tc>
          <w:tcPr>
            <w:tcW w:type="dxa" w:w="7766"/>
            <w:vAlign w:val="center"/>
            <w:shd w:fill="FFFFFF"/>
          </w:tcPr>
          <w:p>
            <w:pPr>
              <w:spacing w:after="40" w:before="20" w:line="254" w:lineRule="auto"/>
            </w:pPr>
            <w:r>
              <w:rPr>
                <w:rFonts w:ascii="Arial" w:hAnsi="Arial"/>
                <w:sz w:val="18"/>
              </w:rPr>
              <w:t>Añadir datos inválidos, permisos y operaciones simultáneas según riesgo</w:t>
            </w:r>
          </w:p>
        </w:tc>
      </w:tr>
      <w:tr>
        <w:trPr>
          <w:cantSplit/>
        </w:trPr>
        <w:tc>
          <w:tcPr>
            <w:tcW w:type="dxa" w:w="1872"/>
            <w:vAlign w:val="center"/>
            <w:shd w:fill="F2F4F6"/>
          </w:tcPr>
          <w:p>
            <w:pPr>
              <w:spacing w:after="40" w:before="20" w:line="254" w:lineRule="auto"/>
            </w:pPr>
            <w:r>
              <w:rPr>
                <w:rFonts w:ascii="Arial" w:hAnsi="Arial"/>
                <w:sz w:val="18"/>
              </w:rPr>
              <w:t>Entrega de enlaces de recuperación en entorno demo</w:t>
            </w:r>
          </w:p>
        </w:tc>
        <w:tc>
          <w:tcPr>
            <w:tcW w:type="dxa" w:w="7766"/>
            <w:vAlign w:val="center"/>
            <w:shd w:fill="F2F4F6"/>
          </w:tcPr>
          <w:p>
            <w:pPr>
              <w:spacing w:after="40" w:before="20" w:line="254" w:lineRule="auto"/>
            </w:pPr>
            <w:r>
              <w:rPr>
                <w:rFonts w:ascii="Arial" w:hAnsi="Arial"/>
                <w:sz w:val="18"/>
              </w:rPr>
              <w:t>Los controles del token están verificados; mantener el log privado y configurar correo antes de uso operativo</w:t>
            </w:r>
          </w:p>
        </w:tc>
      </w:tr>
      <w:tr>
        <w:trPr>
          <w:cantSplit/>
        </w:trPr>
        <w:tc>
          <w:tcPr>
            <w:tcW w:type="dxa" w:w="1872"/>
            <w:vAlign w:val="center"/>
            <w:shd w:fill="FFFFFF"/>
          </w:tcPr>
          <w:p>
            <w:pPr>
              <w:spacing w:after="40" w:before="20" w:line="254" w:lineRule="auto"/>
            </w:pPr>
            <w:r>
              <w:rPr>
                <w:rFonts w:ascii="Arial" w:hAnsi="Arial"/>
                <w:sz w:val="18"/>
              </w:rPr>
              <w:t>Regresión de automatización</w:t>
            </w:r>
          </w:p>
        </w:tc>
        <w:tc>
          <w:tcPr>
            <w:tcW w:type="dxa" w:w="7766"/>
            <w:vAlign w:val="center"/>
            <w:shd w:fill="FFFFFF"/>
          </w:tcPr>
          <w:p>
            <w:pPr>
              <w:spacing w:after="40" w:before="20" w:line="254" w:lineRule="auto"/>
            </w:pPr>
            <w:r>
              <w:rPr>
                <w:rFonts w:ascii="Arial" w:hAnsi="Arial"/>
                <w:sz w:val="18"/>
              </w:rPr>
              <w:t>Cypress y Selenium ya ejecutados; repetir CI al integrar cambios y conservar artefactos</w:t>
            </w:r>
          </w:p>
        </w:tc>
      </w:tr>
    </w:tbl>
    <w:p>
      <w:pPr>
        <w:spacing w:after="80" w:line="40" w:lineRule="exact"/>
      </w:pPr>
      <w:r>
        <w:rPr>
          <w:sz w:val="4"/>
        </w:rPr>
      </w:r>
    </w:p>
    <w:p>
      <w:bookmarkStart w:id="105" w:name="sec_6"/>
      <w:pPr>
        <w:pStyle w:val="Heading1"/>
      </w:pPr>
      <w:r>
        <w:t>Casos de prueba y trazabilidad</w:t>
      </w:r>
      <w:bookmarkEnd w:id="105"/>
    </w:p>
    <w:p>
      <w:r>
        <w:t>El catálogo reúne 17 casos de diseño. Las suites ejecutadas verifican los comportamientos identificados en la matriz; algunos casos amplios tienen comprobación parcial. El informe no atribuye aprobación completa a un caso solo por contar con una prueba relacionada. La instalación física, exploración de teclado, carga y cobertura instrumentada requieren campañas adicionales.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440"/>
        <w:gridCol w:w="4536"/>
        <w:gridCol w:w="3662"/>
      </w:tblGrid>
      <w:tr>
        <w:trPr>
          <w:cantSplit/>
          <w:tblHeader/>
        </w:trPr>
        <w:tc>
          <w:tcPr>
            <w:tcW w:type="dxa" w:w="1440"/>
            <w:vAlign w:val="center"/>
            <w:shd w:fill="303841"/>
          </w:tcPr>
          <w:p>
            <w:pPr>
              <w:keepNext/>
              <w:spacing w:after="40" w:before="20" w:line="254" w:lineRule="auto"/>
              <w:jc w:val="center"/>
            </w:pPr>
            <w:r>
              <w:rPr>
                <w:rFonts w:ascii="Arial" w:hAnsi="Arial"/>
                <w:b/>
                <w:color w:val="FFFFFF"/>
                <w:sz w:val="18"/>
              </w:rPr>
              <w:t>Caso y trazabilidad</w:t>
            </w:r>
          </w:p>
        </w:tc>
        <w:tc>
          <w:tcPr>
            <w:tcW w:type="dxa" w:w="4536"/>
            <w:vAlign w:val="center"/>
            <w:shd w:fill="303841"/>
          </w:tcPr>
          <w:p>
            <w:pPr>
              <w:keepNext/>
              <w:spacing w:after="40" w:before="20" w:line="254" w:lineRule="auto"/>
            </w:pPr>
            <w:r>
              <w:rPr>
                <w:rFonts w:ascii="Arial" w:hAnsi="Arial"/>
                <w:b/>
                <w:color w:val="FFFFFF"/>
                <w:sz w:val="18"/>
              </w:rPr>
              <w:t>Procedimiento y técnica</w:t>
            </w:r>
          </w:p>
        </w:tc>
        <w:tc>
          <w:tcPr>
            <w:tcW w:type="dxa" w:w="3662"/>
            <w:vAlign w:val="center"/>
            <w:shd w:fill="303841"/>
          </w:tcPr>
          <w:p>
            <w:pPr>
              <w:keepNext/>
              <w:spacing w:after="40" w:before="20" w:line="254" w:lineRule="auto"/>
            </w:pPr>
            <w:r>
              <w:rPr>
                <w:rFonts w:ascii="Arial" w:hAnsi="Arial"/>
                <w:b/>
                <w:color w:val="FFFFFF"/>
                <w:sz w:val="18"/>
              </w:rPr>
              <w:t>Resultado esperado</w:t>
            </w:r>
          </w:p>
        </w:tc>
      </w:tr>
      <w:tr>
        <w:trPr>
          <w:cantSplit/>
        </w:trPr>
        <w:tc>
          <w:tcPr>
            <w:tcW w:type="dxa" w:w="1440"/>
            <w:vAlign w:val="center"/>
            <w:shd w:fill="FFFFFF"/>
          </w:tcPr>
          <w:p>
            <w:pPr>
              <w:spacing w:after="40" w:before="20" w:line="254" w:lineRule="auto"/>
              <w:jc w:val="center"/>
            </w:pPr>
            <w:r>
              <w:rPr>
                <w:rFonts w:ascii="Arial" w:hAnsi="Arial"/>
                <w:sz w:val="18"/>
              </w:rPr>
              <w:t>CP-01</w:t>
              <w:br/>
              <w:t>RF-01 / HU-01</w:t>
            </w:r>
          </w:p>
        </w:tc>
        <w:tc>
          <w:tcPr>
            <w:tcW w:type="dxa" w:w="4536"/>
            <w:vAlign w:val="center"/>
            <w:shd w:fill="FFFFFF"/>
          </w:tcPr>
          <w:p>
            <w:pPr>
              <w:spacing w:after="40" w:before="20" w:line="254" w:lineRule="auto"/>
            </w:pPr>
            <w:r>
              <w:rPr>
                <w:rFonts w:ascii="Arial" w:hAnsi="Arial"/>
                <w:sz w:val="18"/>
              </w:rPr>
              <w:t>Cuenta válida; iniciar sesión con datos correctos y luego incorrectos</w:t>
              <w:br/>
              <w:t>Técnica: Equivalencias</w:t>
            </w:r>
          </w:p>
        </w:tc>
        <w:tc>
          <w:tcPr>
            <w:tcW w:type="dxa" w:w="3662"/>
            <w:vAlign w:val="center"/>
            <w:shd w:fill="FFFFFF"/>
          </w:tcPr>
          <w:p>
            <w:pPr>
              <w:spacing w:after="40" w:before="20" w:line="254" w:lineRule="auto"/>
            </w:pPr>
            <w:r>
              <w:rPr>
                <w:rFonts w:ascii="Arial" w:hAnsi="Arial"/>
                <w:sz w:val="18"/>
              </w:rPr>
              <w:t>Acceso correcto según rol; datos incorrectos rechazados</w:t>
            </w:r>
          </w:p>
        </w:tc>
      </w:tr>
      <w:tr>
        <w:trPr>
          <w:cantSplit/>
        </w:trPr>
        <w:tc>
          <w:tcPr>
            <w:tcW w:type="dxa" w:w="1440"/>
            <w:vAlign w:val="center"/>
            <w:shd w:fill="F2F4F6"/>
          </w:tcPr>
          <w:p>
            <w:pPr>
              <w:spacing w:after="40" w:before="20" w:line="254" w:lineRule="auto"/>
            </w:pPr>
            <w:r>
              <w:rPr>
                <w:rFonts w:ascii="Arial" w:hAnsi="Arial"/>
                <w:sz w:val="18"/>
              </w:rPr>
              <w:t>CP-02</w:t>
              <w:br/>
              <w:t>RF-07/08 / HU-07/08</w:t>
            </w:r>
          </w:p>
        </w:tc>
        <w:tc>
          <w:tcPr>
            <w:tcW w:type="dxa" w:w="4536"/>
            <w:vAlign w:val="center"/>
            <w:shd w:fill="F2F4F6"/>
          </w:tcPr>
          <w:p>
            <w:pPr>
              <w:spacing w:after="40" w:before="20" w:line="254" w:lineRule="auto"/>
            </w:pPr>
            <w:r>
              <w:rPr>
                <w:rFonts w:ascii="Arial" w:hAnsi="Arial"/>
                <w:sz w:val="18"/>
              </w:rPr>
              <w:t>Entrar como estudiante y empleado; intentar crear/editar/desactivar producto</w:t>
              <w:br/>
              <w:t>Técnica: Tabla de decisión por rol</w:t>
            </w:r>
          </w:p>
        </w:tc>
        <w:tc>
          <w:tcPr>
            <w:tcW w:type="dxa" w:w="3662"/>
            <w:vAlign w:val="center"/>
            <w:shd w:fill="F2F4F6"/>
          </w:tcPr>
          <w:p>
            <w:pPr>
              <w:spacing w:after="40" w:before="20" w:line="254" w:lineRule="auto"/>
            </w:pPr>
            <w:r>
              <w:rPr>
                <w:rFonts w:ascii="Arial" w:hAnsi="Arial"/>
                <w:sz w:val="18"/>
              </w:rPr>
              <w:t>Operaciones rechazadas y producto sin cambios</w:t>
            </w:r>
          </w:p>
        </w:tc>
      </w:tr>
      <w:tr>
        <w:trPr>
          <w:cantSplit/>
        </w:trPr>
        <w:tc>
          <w:tcPr>
            <w:tcW w:type="dxa" w:w="1440"/>
            <w:vAlign w:val="center"/>
            <w:shd w:fill="FFFFFF"/>
          </w:tcPr>
          <w:p>
            <w:pPr>
              <w:spacing w:after="40" w:before="20" w:line="254" w:lineRule="auto"/>
              <w:jc w:val="center"/>
            </w:pPr>
            <w:r>
              <w:rPr>
                <w:rFonts w:ascii="Arial" w:hAnsi="Arial"/>
                <w:sz w:val="18"/>
              </w:rPr>
              <w:t>CP-03</w:t>
              <w:br/>
              <w:t>RF-02 / HU-02</w:t>
            </w:r>
          </w:p>
        </w:tc>
        <w:tc>
          <w:tcPr>
            <w:tcW w:type="dxa" w:w="4536"/>
            <w:vAlign w:val="center"/>
            <w:shd w:fill="FFFFFF"/>
          </w:tcPr>
          <w:p>
            <w:pPr>
              <w:spacing w:after="40" w:before="20" w:line="254" w:lineRule="auto"/>
            </w:pPr>
            <w:r>
              <w:rPr>
                <w:rFonts w:ascii="Arial" w:hAnsi="Arial"/>
                <w:sz w:val="18"/>
              </w:rPr>
              <w:t>Producto activo y producto inactivo; abrir catálogo estudiante</w:t>
              <w:br/>
              <w:t>Técnica: Tabla de decisión</w:t>
            </w:r>
          </w:p>
        </w:tc>
        <w:tc>
          <w:tcPr>
            <w:tcW w:type="dxa" w:w="3662"/>
            <w:vAlign w:val="center"/>
            <w:shd w:fill="FFFFFF"/>
          </w:tcPr>
          <w:p>
            <w:pPr>
              <w:spacing w:after="40" w:before="20" w:line="254" w:lineRule="auto"/>
            </w:pPr>
            <w:r>
              <w:rPr>
                <w:rFonts w:ascii="Arial" w:hAnsi="Arial"/>
                <w:sz w:val="18"/>
              </w:rPr>
              <w:t>Solo activo aparece</w:t>
            </w:r>
          </w:p>
        </w:tc>
      </w:tr>
      <w:tr>
        <w:trPr>
          <w:cantSplit/>
        </w:trPr>
        <w:tc>
          <w:tcPr>
            <w:tcW w:type="dxa" w:w="1440"/>
            <w:vAlign w:val="center"/>
            <w:shd w:fill="F2F4F6"/>
          </w:tcPr>
          <w:p>
            <w:pPr>
              <w:spacing w:after="40" w:before="20" w:line="254" w:lineRule="auto"/>
              <w:jc w:val="center"/>
            </w:pPr>
            <w:r>
              <w:rPr>
                <w:rFonts w:ascii="Arial" w:hAnsi="Arial"/>
                <w:sz w:val="18"/>
              </w:rPr>
              <w:t>CP-04</w:t>
              <w:br/>
              <w:t>RF-03 / HU-03</w:t>
            </w:r>
          </w:p>
        </w:tc>
        <w:tc>
          <w:tcPr>
            <w:tcW w:type="dxa" w:w="4536"/>
            <w:vAlign w:val="center"/>
            <w:shd w:fill="F2F4F6"/>
          </w:tcPr>
          <w:p>
            <w:pPr>
              <w:spacing w:after="40" w:before="20" w:line="254" w:lineRule="auto"/>
            </w:pPr>
            <w:r>
              <w:rPr>
                <w:rFonts w:ascii="Arial" w:hAnsi="Arial"/>
                <w:sz w:val="18"/>
              </w:rPr>
              <w:t>Agregar cantidad 0, 1 y 2; luego actualizar a 0</w:t>
              <w:br/>
              <w:t>Técnica: Límites y equivalencias</w:t>
            </w:r>
          </w:p>
        </w:tc>
        <w:tc>
          <w:tcPr>
            <w:tcW w:type="dxa" w:w="3662"/>
            <w:vAlign w:val="center"/>
            <w:shd w:fill="F2F4F6"/>
          </w:tcPr>
          <w:p>
            <w:pPr>
              <w:spacing w:after="40" w:before="20" w:line="254" w:lineRule="auto"/>
            </w:pPr>
            <w:r>
              <w:rPr>
                <w:rFonts w:ascii="Arial" w:hAnsi="Arial"/>
                <w:sz w:val="18"/>
              </w:rPr>
              <w:t>Agregar 0 se rechaza; 1 y 2 válidos; actualizar a 0 elimina la línea</w:t>
            </w:r>
          </w:p>
        </w:tc>
      </w:tr>
      <w:tr>
        <w:trPr>
          <w:cantSplit/>
        </w:trPr>
        <w:tc>
          <w:tcPr>
            <w:tcW w:type="dxa" w:w="1440"/>
            <w:vAlign w:val="center"/>
            <w:shd w:fill="FFFFFF"/>
          </w:tcPr>
          <w:p>
            <w:pPr>
              <w:spacing w:after="40" w:before="20" w:line="254" w:lineRule="auto"/>
            </w:pPr>
            <w:r>
              <w:rPr>
                <w:rFonts w:ascii="Arial" w:hAnsi="Arial"/>
                <w:sz w:val="18"/>
              </w:rPr>
              <w:t>CP-05</w:t>
              <w:br/>
              <w:t>RF-03/04 / HU-03/04</w:t>
            </w:r>
          </w:p>
        </w:tc>
        <w:tc>
          <w:tcPr>
            <w:tcW w:type="dxa" w:w="4536"/>
            <w:vAlign w:val="center"/>
            <w:shd w:fill="FFFFFF"/>
          </w:tcPr>
          <w:p>
            <w:pPr>
              <w:spacing w:after="40" w:before="20" w:line="254" w:lineRule="auto"/>
            </w:pPr>
            <w:r>
              <w:rPr>
                <w:rFonts w:ascii="Arial" w:hAnsi="Arial"/>
                <w:sz w:val="18"/>
              </w:rPr>
              <w:t>Producto de 8 Bs.; agregar 2 y confirmar</w:t>
              <w:br/>
              <w:t>Técnica: Integración</w:t>
            </w:r>
          </w:p>
        </w:tc>
        <w:tc>
          <w:tcPr>
            <w:tcW w:type="dxa" w:w="3662"/>
            <w:vAlign w:val="center"/>
            <w:shd w:fill="FFFFFF"/>
          </w:tcPr>
          <w:p>
            <w:pPr>
              <w:spacing w:after="40" w:before="20" w:line="254" w:lineRule="auto"/>
            </w:pPr>
            <w:r>
              <w:rPr>
                <w:rFonts w:ascii="Arial" w:hAnsi="Arial"/>
                <w:sz w:val="18"/>
              </w:rPr>
              <w:t>Total 16 Bs.; pedido con 2 unidades y estado pendiente</w:t>
            </w:r>
          </w:p>
        </w:tc>
      </w:tr>
      <w:tr>
        <w:trPr>
          <w:cantSplit/>
        </w:trPr>
        <w:tc>
          <w:tcPr>
            <w:tcW w:type="dxa" w:w="1440"/>
            <w:vAlign w:val="center"/>
            <w:shd w:fill="F2F4F6"/>
          </w:tcPr>
          <w:p>
            <w:pPr>
              <w:spacing w:after="40" w:before="20" w:line="254" w:lineRule="auto"/>
              <w:jc w:val="center"/>
            </w:pPr>
            <w:r>
              <w:rPr>
                <w:rFonts w:ascii="Arial" w:hAnsi="Arial"/>
                <w:sz w:val="18"/>
              </w:rPr>
              <w:t>CP-06</w:t>
              <w:br/>
              <w:t>RF-04 / HU-04</w:t>
            </w:r>
          </w:p>
        </w:tc>
        <w:tc>
          <w:tcPr>
            <w:tcW w:type="dxa" w:w="4536"/>
            <w:vAlign w:val="center"/>
            <w:shd w:fill="F2F4F6"/>
          </w:tcPr>
          <w:p>
            <w:pPr>
              <w:spacing w:after="40" w:before="20" w:line="254" w:lineRule="auto"/>
            </w:pPr>
            <w:r>
              <w:rPr>
                <w:rFonts w:ascii="Arial" w:hAnsi="Arial"/>
                <w:sz w:val="18"/>
              </w:rPr>
              <w:t>Carrito vacío; intentar confirmar</w:t>
              <w:br/>
              <w:t>Técnica: Caso negativo</w:t>
            </w:r>
          </w:p>
        </w:tc>
        <w:tc>
          <w:tcPr>
            <w:tcW w:type="dxa" w:w="3662"/>
            <w:vAlign w:val="center"/>
            <w:shd w:fill="F2F4F6"/>
          </w:tcPr>
          <w:p>
            <w:pPr>
              <w:spacing w:after="40" w:before="20" w:line="254" w:lineRule="auto"/>
            </w:pPr>
            <w:r>
              <w:rPr>
                <w:rFonts w:ascii="Arial" w:hAnsi="Arial"/>
                <w:sz w:val="18"/>
              </w:rPr>
              <w:t>Sin pedido creado y mensaje claro</w:t>
            </w:r>
          </w:p>
        </w:tc>
      </w:tr>
      <w:tr>
        <w:trPr>
          <w:cantSplit/>
        </w:trPr>
        <w:tc>
          <w:tcPr>
            <w:tcW w:type="dxa" w:w="1440"/>
            <w:vAlign w:val="center"/>
            <w:shd w:fill="FFFFFF"/>
          </w:tcPr>
          <w:p>
            <w:pPr>
              <w:spacing w:after="40" w:before="20" w:line="254" w:lineRule="auto"/>
              <w:jc w:val="center"/>
            </w:pPr>
            <w:r>
              <w:rPr>
                <w:rFonts w:ascii="Arial" w:hAnsi="Arial"/>
                <w:sz w:val="18"/>
              </w:rPr>
              <w:t>CP-07</w:t>
              <w:br/>
              <w:t>RF-04 / HU-04</w:t>
            </w:r>
          </w:p>
        </w:tc>
        <w:tc>
          <w:tcPr>
            <w:tcW w:type="dxa" w:w="4536"/>
            <w:vAlign w:val="center"/>
            <w:shd w:fill="FFFFFF"/>
          </w:tcPr>
          <w:p>
            <w:pPr>
              <w:spacing w:after="40" w:before="20" w:line="254" w:lineRule="auto"/>
            </w:pPr>
            <w:r>
              <w:rPr>
                <w:rFonts w:ascii="Arial" w:hAnsi="Arial"/>
                <w:sz w:val="18"/>
              </w:rPr>
              <w:t>Agregar producto; personal lo marca agotado antes de confirmar</w:t>
              <w:br/>
              <w:t>Técnica: Integración / reglas</w:t>
            </w:r>
          </w:p>
        </w:tc>
        <w:tc>
          <w:tcPr>
            <w:tcW w:type="dxa" w:w="3662"/>
            <w:vAlign w:val="center"/>
            <w:shd w:fill="FFFFFF"/>
          </w:tcPr>
          <w:p>
            <w:pPr>
              <w:spacing w:after="40" w:before="20" w:line="254" w:lineRule="auto"/>
            </w:pPr>
            <w:r>
              <w:rPr>
                <w:rFonts w:ascii="Arial" w:hAnsi="Arial"/>
                <w:sz w:val="18"/>
              </w:rPr>
              <w:t>No se confirma con producto no disponible; mensaje y carrito coherentes</w:t>
            </w:r>
          </w:p>
        </w:tc>
      </w:tr>
      <w:tr>
        <w:trPr>
          <w:cantSplit/>
        </w:trPr>
        <w:tc>
          <w:tcPr>
            <w:tcW w:type="dxa" w:w="1440"/>
            <w:vAlign w:val="center"/>
            <w:shd w:fill="F2F4F6"/>
          </w:tcPr>
          <w:p>
            <w:pPr>
              <w:spacing w:after="40" w:before="20" w:line="254" w:lineRule="auto"/>
              <w:jc w:val="center"/>
            </w:pPr>
            <w:r>
              <w:rPr>
                <w:rFonts w:ascii="Arial" w:hAnsi="Arial"/>
                <w:sz w:val="18"/>
              </w:rPr>
              <w:t>CP-08</w:t>
              <w:br/>
              <w:t>RF-05 / HU-05</w:t>
            </w:r>
          </w:p>
        </w:tc>
        <w:tc>
          <w:tcPr>
            <w:tcW w:type="dxa" w:w="4536"/>
            <w:vAlign w:val="center"/>
            <w:shd w:fill="F2F4F6"/>
          </w:tcPr>
          <w:p>
            <w:pPr>
              <w:spacing w:after="40" w:before="20" w:line="254" w:lineRule="auto"/>
            </w:pPr>
            <w:r>
              <w:rPr>
                <w:rFonts w:ascii="Arial" w:hAnsi="Arial"/>
                <w:sz w:val="18"/>
              </w:rPr>
              <w:t>Dos estudiantes; intentar acceder al pedido del otro</w:t>
              <w:br/>
              <w:t>Técnica: Seguridad funcional</w:t>
            </w:r>
          </w:p>
        </w:tc>
        <w:tc>
          <w:tcPr>
            <w:tcW w:type="dxa" w:w="3662"/>
            <w:vAlign w:val="center"/>
            <w:shd w:fill="F2F4F6"/>
          </w:tcPr>
          <w:p>
            <w:pPr>
              <w:spacing w:after="40" w:before="20" w:line="254" w:lineRule="auto"/>
            </w:pPr>
            <w:r>
              <w:rPr>
                <w:rFonts w:ascii="Arial" w:hAnsi="Arial"/>
                <w:sz w:val="18"/>
              </w:rPr>
              <w:t>Acceso rechazado y sin datos ajenos</w:t>
            </w:r>
          </w:p>
        </w:tc>
      </w:tr>
      <w:tr>
        <w:trPr>
          <w:cantSplit/>
        </w:trPr>
        <w:tc>
          <w:tcPr>
            <w:tcW w:type="dxa" w:w="1440"/>
            <w:vAlign w:val="center"/>
            <w:shd w:fill="FFFFFF"/>
          </w:tcPr>
          <w:p>
            <w:pPr>
              <w:spacing w:after="40" w:before="20" w:line="254" w:lineRule="auto"/>
              <w:jc w:val="center"/>
            </w:pPr>
            <w:r>
              <w:rPr>
                <w:rFonts w:ascii="Arial" w:hAnsi="Arial"/>
                <w:sz w:val="18"/>
              </w:rPr>
              <w:t>CP-09</w:t>
              <w:br/>
              <w:t>RF-06 / HU-06</w:t>
            </w:r>
          </w:p>
        </w:tc>
        <w:tc>
          <w:tcPr>
            <w:tcW w:type="dxa" w:w="4536"/>
            <w:vAlign w:val="center"/>
            <w:shd w:fill="FFFFFF"/>
          </w:tcPr>
          <w:p>
            <w:pPr>
              <w:spacing w:after="40" w:before="20" w:line="254" w:lineRule="auto"/>
            </w:pPr>
            <w:r>
              <w:rPr>
                <w:rFonts w:ascii="Arial" w:hAnsi="Arial"/>
                <w:sz w:val="18"/>
              </w:rPr>
              <w:t>Personal; avanzar pedido por sus estados; repetir al entregarlo</w:t>
              <w:br/>
              <w:t>Técnica: Transición de estados</w:t>
            </w:r>
          </w:p>
        </w:tc>
        <w:tc>
          <w:tcPr>
            <w:tcW w:type="dxa" w:w="3662"/>
            <w:vAlign w:val="center"/>
            <w:shd w:fill="FFFFFF"/>
          </w:tcPr>
          <w:p>
            <w:pPr>
              <w:spacing w:after="40" w:before="20" w:line="254" w:lineRule="auto"/>
            </w:pPr>
            <w:r>
              <w:rPr>
                <w:rFonts w:ascii="Arial" w:hAnsi="Arial"/>
                <w:sz w:val="18"/>
              </w:rPr>
              <w:t>Orden permitido; entregado no se modifica</w:t>
            </w:r>
          </w:p>
        </w:tc>
      </w:tr>
      <w:tr>
        <w:trPr>
          <w:cantSplit/>
        </w:trPr>
        <w:tc>
          <w:tcPr>
            <w:tcW w:type="dxa" w:w="1440"/>
            <w:vAlign w:val="center"/>
            <w:shd w:fill="F2F4F6"/>
          </w:tcPr>
          <w:p>
            <w:pPr>
              <w:spacing w:after="40" w:before="20" w:line="254" w:lineRule="auto"/>
              <w:jc w:val="center"/>
            </w:pPr>
            <w:r>
              <w:rPr>
                <w:rFonts w:ascii="Arial" w:hAnsi="Arial"/>
                <w:sz w:val="18"/>
              </w:rPr>
              <w:t>CP-10</w:t>
              <w:br/>
              <w:t>RF-07 / HU-07</w:t>
            </w:r>
          </w:p>
        </w:tc>
        <w:tc>
          <w:tcPr>
            <w:tcW w:type="dxa" w:w="4536"/>
            <w:vAlign w:val="center"/>
            <w:shd w:fill="F2F4F6"/>
          </w:tcPr>
          <w:p>
            <w:pPr>
              <w:spacing w:after="40" w:before="20" w:line="254" w:lineRule="auto"/>
            </w:pPr>
            <w:r>
              <w:rPr>
                <w:rFonts w:ascii="Arial" w:hAnsi="Arial"/>
                <w:sz w:val="18"/>
              </w:rPr>
              <w:t>Crear producto con Disponible marcado y desmarcado</w:t>
              <w:br/>
              <w:t>Técnica: Tabla de decisión booleana</w:t>
            </w:r>
          </w:p>
        </w:tc>
        <w:tc>
          <w:tcPr>
            <w:tcW w:type="dxa" w:w="3662"/>
            <w:vAlign w:val="center"/>
            <w:shd w:fill="F2F4F6"/>
          </w:tcPr>
          <w:p>
            <w:pPr>
              <w:spacing w:after="40" w:before="20" w:line="254" w:lineRule="auto"/>
            </w:pPr>
            <w:r>
              <w:rPr>
                <w:rFonts w:ascii="Arial" w:hAnsi="Arial"/>
                <w:sz w:val="18"/>
              </w:rPr>
              <w:t>Se guardan true y false respectivamente</w:t>
            </w:r>
          </w:p>
        </w:tc>
      </w:tr>
      <w:tr>
        <w:trPr>
          <w:cantSplit/>
        </w:trPr>
        <w:tc>
          <w:tcPr>
            <w:tcW w:type="dxa" w:w="1440"/>
            <w:vAlign w:val="center"/>
            <w:shd w:fill="FFFFFF"/>
          </w:tcPr>
          <w:p>
            <w:pPr>
              <w:spacing w:after="40" w:before="20" w:line="254" w:lineRule="auto"/>
              <w:jc w:val="center"/>
            </w:pPr>
            <w:r>
              <w:rPr>
                <w:rFonts w:ascii="Arial" w:hAnsi="Arial"/>
                <w:sz w:val="18"/>
              </w:rPr>
              <w:t>CP-11</w:t>
              <w:br/>
              <w:t>RF-07 / HU-07</w:t>
            </w:r>
          </w:p>
        </w:tc>
        <w:tc>
          <w:tcPr>
            <w:tcW w:type="dxa" w:w="4536"/>
            <w:vAlign w:val="center"/>
            <w:shd w:fill="FFFFFF"/>
          </w:tcPr>
          <w:p>
            <w:pPr>
              <w:spacing w:after="40" w:before="20" w:line="254" w:lineRule="auto"/>
            </w:pPr>
            <w:r>
              <w:rPr>
                <w:rFonts w:ascii="Arial" w:hAnsi="Arial"/>
                <w:sz w:val="18"/>
              </w:rPr>
              <w:t>Precio 0.00, 0.01 y 0.02</w:t>
              <w:br/>
              <w:t>Técnica: Valores límite</w:t>
            </w:r>
          </w:p>
        </w:tc>
        <w:tc>
          <w:tcPr>
            <w:tcW w:type="dxa" w:w="3662"/>
            <w:vAlign w:val="center"/>
            <w:shd w:fill="FFFFFF"/>
          </w:tcPr>
          <w:p>
            <w:pPr>
              <w:spacing w:after="40" w:before="20" w:line="254" w:lineRule="auto"/>
            </w:pPr>
            <w:r>
              <w:rPr>
                <w:rFonts w:ascii="Arial" w:hAnsi="Arial"/>
                <w:sz w:val="18"/>
              </w:rPr>
              <w:t>0.00 rechazado; 0.01 y 0.02 válidos</w:t>
            </w:r>
          </w:p>
        </w:tc>
      </w:tr>
      <w:tr>
        <w:trPr>
          <w:cantSplit/>
        </w:trPr>
        <w:tc>
          <w:tcPr>
            <w:tcW w:type="dxa" w:w="1440"/>
            <w:vAlign w:val="center"/>
            <w:shd w:fill="F2F4F6"/>
          </w:tcPr>
          <w:p>
            <w:pPr>
              <w:spacing w:after="40" w:before="20" w:line="254" w:lineRule="auto"/>
              <w:jc w:val="center"/>
            </w:pPr>
            <w:r>
              <w:rPr>
                <w:rFonts w:ascii="Arial" w:hAnsi="Arial"/>
                <w:sz w:val="18"/>
              </w:rPr>
              <w:t>CP-12</w:t>
              <w:br/>
              <w:t>RF-08 / HU-08</w:t>
            </w:r>
          </w:p>
        </w:tc>
        <w:tc>
          <w:tcPr>
            <w:tcW w:type="dxa" w:w="4536"/>
            <w:vAlign w:val="center"/>
            <w:shd w:fill="F2F4F6"/>
          </w:tcPr>
          <w:p>
            <w:pPr>
              <w:spacing w:after="40" w:before="20" w:line="254" w:lineRule="auto"/>
            </w:pPr>
            <w:r>
              <w:rPr>
                <w:rFonts w:ascii="Arial" w:hAnsi="Arial"/>
                <w:sz w:val="18"/>
              </w:rPr>
              <w:t>Producto activo; desmarcar Activo, guardar, revisar catálogo; reactivar</w:t>
              <w:br/>
              <w:t>Técnica: Transición de estado</w:t>
            </w:r>
          </w:p>
        </w:tc>
        <w:tc>
          <w:tcPr>
            <w:tcW w:type="dxa" w:w="3662"/>
            <w:vAlign w:val="center"/>
            <w:shd w:fill="F2F4F6"/>
          </w:tcPr>
          <w:p>
            <w:pPr>
              <w:spacing w:after="40" w:before="20" w:line="254" w:lineRule="auto"/>
            </w:pPr>
            <w:r>
              <w:rPr>
                <w:rFonts w:ascii="Arial" w:hAnsi="Arial"/>
                <w:sz w:val="18"/>
              </w:rPr>
              <w:t>Se retira y luego reaparece; registro conservado</w:t>
            </w:r>
          </w:p>
        </w:tc>
      </w:tr>
      <w:tr>
        <w:trPr>
          <w:cantSplit/>
        </w:trPr>
        <w:tc>
          <w:tcPr>
            <w:tcW w:type="dxa" w:w="1440"/>
            <w:vAlign w:val="center"/>
            <w:shd w:fill="FFFFFF"/>
          </w:tcPr>
          <w:p>
            <w:pPr>
              <w:spacing w:after="40" w:before="20" w:line="254" w:lineRule="auto"/>
              <w:jc w:val="center"/>
            </w:pPr>
            <w:r>
              <w:rPr>
                <w:rFonts w:ascii="Arial" w:hAnsi="Arial"/>
                <w:sz w:val="18"/>
              </w:rPr>
              <w:t>CP-13</w:t>
              <w:br/>
              <w:t>RF-08 / HU-08</w:t>
            </w:r>
          </w:p>
        </w:tc>
        <w:tc>
          <w:tcPr>
            <w:tcW w:type="dxa" w:w="4536"/>
            <w:vAlign w:val="center"/>
            <w:shd w:fill="FFFFFF"/>
          </w:tcPr>
          <w:p>
            <w:pPr>
              <w:spacing w:after="40" w:before="20" w:line="254" w:lineRule="auto"/>
            </w:pPr>
            <w:r>
              <w:rPr>
                <w:rFonts w:ascii="Arial" w:hAnsi="Arial"/>
                <w:sz w:val="18"/>
              </w:rPr>
              <w:t>Abrir Desactivar; elegir Volver o Escape; luego repetir y confirmar sobre producto de prueba</w:t>
              <w:br/>
              <w:t>Técnica: Interfaz / aceptación</w:t>
            </w:r>
          </w:p>
        </w:tc>
        <w:tc>
          <w:tcPr>
            <w:tcW w:type="dxa" w:w="3662"/>
            <w:vAlign w:val="center"/>
            <w:shd w:fill="FFFFFF"/>
          </w:tcPr>
          <w:p>
            <w:pPr>
              <w:spacing w:after="40" w:before="20" w:line="254" w:lineRule="auto"/>
            </w:pPr>
            <w:r>
              <w:rPr>
                <w:rFonts w:ascii="Arial" w:hAnsi="Arial"/>
                <w:sz w:val="18"/>
              </w:rPr>
              <w:t>Cancelar no modifica; confirmar desactiva una sola vez</w:t>
            </w:r>
          </w:p>
        </w:tc>
      </w:tr>
      <w:tr>
        <w:trPr>
          <w:cantSplit/>
        </w:trPr>
        <w:tc>
          <w:tcPr>
            <w:tcW w:type="dxa" w:w="1440"/>
            <w:vAlign w:val="center"/>
            <w:shd w:fill="F2F4F6"/>
          </w:tcPr>
          <w:p>
            <w:pPr>
              <w:spacing w:after="40" w:before="20" w:line="254" w:lineRule="auto"/>
              <w:jc w:val="center"/>
            </w:pPr>
            <w:r>
              <w:rPr>
                <w:rFonts w:ascii="Arial" w:hAnsi="Arial"/>
                <w:sz w:val="18"/>
              </w:rPr>
              <w:t>CP-14</w:t>
              <w:br/>
              <w:t>RF-09 / HU-09</w:t>
            </w:r>
          </w:p>
        </w:tc>
        <w:tc>
          <w:tcPr>
            <w:tcW w:type="dxa" w:w="4536"/>
            <w:vAlign w:val="center"/>
            <w:shd w:fill="F2F4F6"/>
          </w:tcPr>
          <w:p>
            <w:pPr>
              <w:spacing w:after="40" w:before="20" w:line="254" w:lineRule="auto"/>
            </w:pPr>
            <w:r>
              <w:rPr>
                <w:rFonts w:ascii="Arial" w:hAnsi="Arial"/>
                <w:sz w:val="18"/>
              </w:rPr>
              <w:t>Pedido propio pendiente y otro en preparación; intentar cancelarlos</w:t>
              <w:br/>
              <w:t>Técnica: Tabla de decisión / estados</w:t>
            </w:r>
          </w:p>
        </w:tc>
        <w:tc>
          <w:tcPr>
            <w:tcW w:type="dxa" w:w="3662"/>
            <w:vAlign w:val="center"/>
            <w:shd w:fill="F2F4F6"/>
          </w:tcPr>
          <w:p>
            <w:pPr>
              <w:spacing w:after="40" w:before="20" w:line="254" w:lineRule="auto"/>
            </w:pPr>
            <w:r>
              <w:rPr>
                <w:rFonts w:ascii="Arial" w:hAnsi="Arial"/>
                <w:sz w:val="18"/>
              </w:rPr>
              <w:t>Solo pendiente puede cancelarse; cancelación de confirmación no opera</w:t>
            </w:r>
          </w:p>
        </w:tc>
      </w:tr>
      <w:tr>
        <w:trPr>
          <w:cantSplit/>
        </w:trPr>
        <w:tc>
          <w:tcPr>
            <w:tcW w:type="dxa" w:w="1440"/>
            <w:vAlign w:val="center"/>
            <w:shd w:fill="FFFFFF"/>
          </w:tcPr>
          <w:p>
            <w:pPr>
              <w:spacing w:after="40" w:before="20" w:line="254" w:lineRule="auto"/>
              <w:jc w:val="center"/>
            </w:pPr>
            <w:r>
              <w:rPr>
                <w:rFonts w:ascii="Arial" w:hAnsi="Arial"/>
                <w:sz w:val="18"/>
              </w:rPr>
              <w:t>CP-15</w:t>
              <w:br/>
              <w:t>RF-10 / HU-10</w:t>
            </w:r>
          </w:p>
        </w:tc>
        <w:tc>
          <w:tcPr>
            <w:tcW w:type="dxa" w:w="4536"/>
            <w:vAlign w:val="center"/>
            <w:shd w:fill="FFFFFF"/>
          </w:tcPr>
          <w:p>
            <w:pPr>
              <w:spacing w:after="40" w:before="20" w:line="254" w:lineRule="auto"/>
            </w:pPr>
            <w:r>
              <w:rPr>
                <w:rFonts w:ascii="Arial" w:hAnsi="Arial"/>
                <w:sz w:val="18"/>
              </w:rPr>
              <w:t>Primera visita online; instalación en HTTPS y posterior navegación sin red</w:t>
              <w:br/>
              <w:t>Técnica: Compatibilidad / instalación</w:t>
            </w:r>
          </w:p>
        </w:tc>
        <w:tc>
          <w:tcPr>
            <w:tcW w:type="dxa" w:w="3662"/>
            <w:vAlign w:val="center"/>
            <w:shd w:fill="FFFFFF"/>
          </w:tcPr>
          <w:p>
            <w:pPr>
              <w:spacing w:after="40" w:before="20" w:line="254" w:lineRule="auto"/>
            </w:pPr>
            <w:r>
              <w:rPr>
                <w:rFonts w:ascii="Arial" w:hAnsi="Arial"/>
                <w:sz w:val="18"/>
              </w:rPr>
              <w:t>Instalación compatible y pantalla offline sin datos privados</w:t>
            </w:r>
          </w:p>
        </w:tc>
      </w:tr>
      <w:tr>
        <w:trPr>
          <w:cantSplit/>
        </w:trPr>
        <w:tc>
          <w:tcPr>
            <w:tcW w:type="dxa" w:w="1440"/>
            <w:vAlign w:val="center"/>
            <w:shd w:fill="F2F4F6"/>
          </w:tcPr>
          <w:p>
            <w:pPr>
              <w:spacing w:after="40" w:before="20" w:line="254" w:lineRule="auto"/>
            </w:pPr>
            <w:r>
              <w:rPr>
                <w:rFonts w:ascii="Arial" w:hAnsi="Arial"/>
                <w:sz w:val="18"/>
              </w:rPr>
              <w:t>CP-16</w:t>
              <w:br/>
              <w:t>RF-01 a RF-10 / varias</w:t>
            </w:r>
          </w:p>
        </w:tc>
        <w:tc>
          <w:tcPr>
            <w:tcW w:type="dxa" w:w="4536"/>
            <w:vAlign w:val="center"/>
            <w:shd w:fill="F2F4F6"/>
          </w:tcPr>
          <w:p>
            <w:pPr>
              <w:spacing w:after="40" w:before="20" w:line="254" w:lineRule="auto"/>
            </w:pPr>
            <w:r>
              <w:rPr>
                <w:rFonts w:ascii="Arial" w:hAnsi="Arial"/>
                <w:sz w:val="18"/>
              </w:rPr>
              <w:t>Recorridos principales a 360/390 px y con teclado</w:t>
              <w:br/>
              <w:t>Técnica: Exploratoria / usabilidad</w:t>
            </w:r>
          </w:p>
        </w:tc>
        <w:tc>
          <w:tcPr>
            <w:tcW w:type="dxa" w:w="3662"/>
            <w:vAlign w:val="center"/>
            <w:shd w:fill="F2F4F6"/>
          </w:tcPr>
          <w:p>
            <w:pPr>
              <w:spacing w:after="40" w:before="20" w:line="254" w:lineRule="auto"/>
            </w:pPr>
            <w:r>
              <w:rPr>
                <w:rFonts w:ascii="Arial" w:hAnsi="Arial"/>
                <w:sz w:val="18"/>
              </w:rPr>
              <w:t>Controles utilizables, foco visible y sin desbordamientos que bloqueen el flujo</w:t>
            </w:r>
          </w:p>
        </w:tc>
      </w:tr>
      <w:tr>
        <w:trPr>
          <w:cantSplit/>
        </w:trPr>
        <w:tc>
          <w:tcPr>
            <w:tcW w:type="dxa" w:w="1440"/>
            <w:vAlign w:val="center"/>
            <w:shd w:fill="FFFFFF"/>
          </w:tcPr>
          <w:p>
            <w:pPr>
              <w:spacing w:after="40" w:before="20" w:line="254" w:lineRule="auto"/>
            </w:pPr>
            <w:r>
              <w:rPr>
                <w:rFonts w:ascii="Arial" w:hAnsi="Arial"/>
                <w:sz w:val="18"/>
              </w:rPr>
              <w:t>CP-17</w:t>
              <w:br/>
              <w:t>RF-11 / pendiente</w:t>
            </w:r>
          </w:p>
        </w:tc>
        <w:tc>
          <w:tcPr>
            <w:tcW w:type="dxa" w:w="4536"/>
            <w:vAlign w:val="center"/>
            <w:shd w:fill="FFFFFF"/>
          </w:tcPr>
          <w:p>
            <w:pPr>
              <w:spacing w:after="40" w:before="20" w:line="254" w:lineRule="auto"/>
            </w:pPr>
            <w:r>
              <w:rPr>
                <w:rFonts w:ascii="Arial" w:hAnsi="Arial"/>
                <w:sz w:val="18"/>
              </w:rPr>
              <w:t>Registrar usuario; usar recuperación; volver a usar token y comprobar su antigüedad</w:t>
              <w:br/>
              <w:t>Técnica: Equivalencias / seguridad; aceptación pendiente</w:t>
            </w:r>
          </w:p>
        </w:tc>
        <w:tc>
          <w:tcPr>
            <w:tcW w:type="dxa" w:w="3662"/>
            <w:vAlign w:val="center"/>
            <w:shd w:fill="FFFFFF"/>
          </w:tcPr>
          <w:p>
            <w:pPr>
              <w:spacing w:after="40" w:before="20" w:line="254" w:lineRule="auto"/>
            </w:pPr>
            <w:r>
              <w:rPr>
                <w:rFonts w:ascii="Arial" w:hAnsi="Arial"/>
                <w:sz w:val="18"/>
              </w:rPr>
              <w:t>Registro como estudiante; política de vigencia y uso único definida y verificada</w:t>
            </w:r>
          </w:p>
        </w:tc>
      </w:tr>
    </w:tbl>
    <w:p>
      <w:pPr>
        <w:spacing w:after="80" w:line="40" w:lineRule="exact"/>
      </w:pPr>
      <w:r>
        <w:rPr>
          <w:sz w:val="4"/>
        </w:rPr>
      </w:r>
    </w:p>
    <w:p>
      <w:r>
        <w:t>Para CP-13 usar producto de prueba, no retirar productos reales del usuario sin necesidad. Para CP-15 la emulación del navegador no sustituye la instalación en Android/iOS.</w:t>
      </w:r>
    </w:p>
    <w:p>
      <w:r>
        <w:t>Plantilla de ejecución: CP | commit/versión | entorno/navegador | datos usados | pasos ejecutados | resultado esperado | resultado obtenido | aprobado/fallido/bloqueado | evidencia | defecto | ejecutor | fecha de ejecución.</w:t>
      </w:r>
    </w:p>
    <w:p>
      <w:pPr>
        <w:pStyle w:val="Heading2"/>
      </w:pPr>
      <w:r>
        <w:t>Matriz de trazabilidad inicial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512"/>
        <w:gridCol w:w="1440"/>
        <w:gridCol w:w="1800"/>
        <w:gridCol w:w="4886"/>
      </w:tblGrid>
      <w:tr>
        <w:trPr>
          <w:cantSplit/>
          <w:tblHeader/>
        </w:trPr>
        <w:tc>
          <w:tcPr>
            <w:tcW w:type="dxa" w:w="1512"/>
            <w:vAlign w:val="center"/>
            <w:shd w:fill="303841"/>
          </w:tcPr>
          <w:p>
            <w:pPr>
              <w:keepNext/>
              <w:spacing w:after="40" w:before="20" w:line="254" w:lineRule="auto"/>
              <w:jc w:val="center"/>
            </w:pPr>
            <w:r>
              <w:rPr>
                <w:rFonts w:ascii="Arial" w:hAnsi="Arial"/>
                <w:b/>
                <w:color w:val="FFFFFF"/>
                <w:sz w:val="18"/>
              </w:rPr>
              <w:t>Requisitos</w:t>
            </w:r>
          </w:p>
        </w:tc>
        <w:tc>
          <w:tcPr>
            <w:tcW w:type="dxa" w:w="1440"/>
            <w:vAlign w:val="center"/>
            <w:shd w:fill="303841"/>
          </w:tcPr>
          <w:p>
            <w:pPr>
              <w:keepNext/>
              <w:spacing w:after="40" w:before="20" w:line="254" w:lineRule="auto"/>
            </w:pPr>
            <w:r>
              <w:rPr>
                <w:rFonts w:ascii="Arial" w:hAnsi="Arial"/>
                <w:b/>
                <w:color w:val="FFFFFF"/>
                <w:sz w:val="18"/>
              </w:rPr>
              <w:t>Historias</w:t>
            </w:r>
          </w:p>
        </w:tc>
        <w:tc>
          <w:tcPr>
            <w:tcW w:type="dxa" w:w="1800"/>
            <w:vAlign w:val="center"/>
            <w:shd w:fill="303841"/>
          </w:tcPr>
          <w:p>
            <w:pPr>
              <w:keepNext/>
              <w:spacing w:after="40" w:before="20" w:line="254" w:lineRule="auto"/>
            </w:pPr>
            <w:r>
              <w:rPr>
                <w:rFonts w:ascii="Arial" w:hAnsi="Arial"/>
                <w:b/>
                <w:color w:val="FFFFFF"/>
                <w:sz w:val="18"/>
              </w:rPr>
              <w:t>Casos</w:t>
            </w:r>
          </w:p>
        </w:tc>
        <w:tc>
          <w:tcPr>
            <w:tcW w:type="dxa" w:w="4886"/>
            <w:vAlign w:val="center"/>
            <w:shd w:fill="303841"/>
          </w:tcPr>
          <w:p>
            <w:pPr>
              <w:keepNext/>
              <w:spacing w:after="40" w:before="20" w:line="254" w:lineRule="auto"/>
            </w:pPr>
            <w:r>
              <w:rPr>
                <w:rFonts w:ascii="Arial" w:hAnsi="Arial"/>
                <w:b/>
                <w:color w:val="FFFFFF"/>
                <w:sz w:val="18"/>
              </w:rPr>
              <w:t>Automatización relacionada existente</w:t>
            </w:r>
          </w:p>
        </w:tc>
      </w:tr>
      <w:tr>
        <w:trPr>
          <w:cantSplit/>
        </w:trPr>
        <w:tc>
          <w:tcPr>
            <w:tcW w:type="dxa" w:w="1512"/>
            <w:vAlign w:val="center"/>
            <w:shd w:fill="FFFFFF"/>
          </w:tcPr>
          <w:p>
            <w:pPr>
              <w:spacing w:after="40" w:before="20" w:line="254" w:lineRule="auto"/>
              <w:jc w:val="center"/>
            </w:pPr>
            <w:r>
              <w:rPr>
                <w:rFonts w:ascii="Arial" w:hAnsi="Arial"/>
                <w:sz w:val="18"/>
              </w:rPr>
              <w:t>RF-01</w:t>
            </w:r>
          </w:p>
        </w:tc>
        <w:tc>
          <w:tcPr>
            <w:tcW w:type="dxa" w:w="1440"/>
            <w:vAlign w:val="center"/>
            <w:shd w:fill="FFFFFF"/>
          </w:tcPr>
          <w:p>
            <w:pPr>
              <w:spacing w:after="40" w:before="20" w:line="254" w:lineRule="auto"/>
            </w:pPr>
            <w:r>
              <w:rPr>
                <w:rFonts w:ascii="Arial" w:hAnsi="Arial"/>
                <w:sz w:val="18"/>
              </w:rPr>
              <w:t>HU-01</w:t>
            </w:r>
          </w:p>
        </w:tc>
        <w:tc>
          <w:tcPr>
            <w:tcW w:type="dxa" w:w="1800"/>
            <w:vAlign w:val="center"/>
            <w:shd w:fill="FFFFFF"/>
          </w:tcPr>
          <w:p>
            <w:pPr>
              <w:spacing w:after="40" w:before="20" w:line="254" w:lineRule="auto"/>
            </w:pPr>
            <w:r>
              <w:rPr>
                <w:rFonts w:ascii="Arial" w:hAnsi="Arial"/>
                <w:sz w:val="18"/>
              </w:rPr>
              <w:t>CP-01/02</w:t>
            </w:r>
          </w:p>
        </w:tc>
        <w:tc>
          <w:tcPr>
            <w:tcW w:type="dxa" w:w="4886"/>
            <w:vAlign w:val="center"/>
            <w:shd w:fill="FFFFFF"/>
          </w:tcPr>
          <w:p>
            <w:pPr>
              <w:spacing w:after="40" w:before="20" w:line="254" w:lineRule="auto"/>
            </w:pPr>
            <w:r>
              <w:rPr>
                <w:rFonts w:ascii="Arial" w:hAnsi="Arial"/>
                <w:sz w:val="18"/>
              </w:rPr>
              <w:t>UniFoodExperienceTest y Cypress; login válido/incorrecto y permisos; ampliar logout</w:t>
            </w:r>
          </w:p>
        </w:tc>
      </w:tr>
      <w:tr>
        <w:trPr>
          <w:cantSplit/>
        </w:trPr>
        <w:tc>
          <w:tcPr>
            <w:tcW w:type="dxa" w:w="1512"/>
            <w:vAlign w:val="center"/>
            <w:shd w:fill="F2F4F6"/>
          </w:tcPr>
          <w:p>
            <w:pPr>
              <w:spacing w:after="40" w:before="20" w:line="254" w:lineRule="auto"/>
              <w:jc w:val="center"/>
            </w:pPr>
            <w:r>
              <w:rPr>
                <w:rFonts w:ascii="Arial" w:hAnsi="Arial"/>
                <w:sz w:val="18"/>
              </w:rPr>
              <w:t>RF-02/03/04</w:t>
            </w:r>
          </w:p>
        </w:tc>
        <w:tc>
          <w:tcPr>
            <w:tcW w:type="dxa" w:w="1440"/>
            <w:vAlign w:val="center"/>
            <w:shd w:fill="F2F4F6"/>
          </w:tcPr>
          <w:p>
            <w:pPr>
              <w:spacing w:after="40" w:before="20" w:line="254" w:lineRule="auto"/>
            </w:pPr>
            <w:r>
              <w:rPr>
                <w:rFonts w:ascii="Arial" w:hAnsi="Arial"/>
                <w:sz w:val="18"/>
              </w:rPr>
              <w:t>HU-02/03/04</w:t>
            </w:r>
          </w:p>
        </w:tc>
        <w:tc>
          <w:tcPr>
            <w:tcW w:type="dxa" w:w="1800"/>
            <w:vAlign w:val="center"/>
            <w:shd w:fill="F2F4F6"/>
          </w:tcPr>
          <w:p>
            <w:pPr>
              <w:spacing w:after="40" w:before="20" w:line="254" w:lineRule="auto"/>
            </w:pPr>
            <w:r>
              <w:rPr>
                <w:rFonts w:ascii="Arial" w:hAnsi="Arial"/>
                <w:sz w:val="18"/>
              </w:rPr>
              <w:t>CP-03 a CP-07</w:t>
            </w:r>
          </w:p>
        </w:tc>
        <w:tc>
          <w:tcPr>
            <w:tcW w:type="dxa" w:w="4886"/>
            <w:vAlign w:val="center"/>
            <w:shd w:fill="F2F4F6"/>
          </w:tcPr>
          <w:p>
            <w:pPr>
              <w:spacing w:after="40" w:before="20" w:line="254" w:lineRule="auto"/>
            </w:pPr>
            <w:r>
              <w:rPr>
                <w:rFonts w:ascii="Arial" w:hAnsi="Arial"/>
                <w:sz w:val="18"/>
              </w:rPr>
              <w:t>UniFoodExperienceTest; ampliar límites y cambios de disponibilidad durante compra</w:t>
            </w:r>
          </w:p>
        </w:tc>
      </w:tr>
      <w:tr>
        <w:trPr>
          <w:cantSplit/>
        </w:trPr>
        <w:tc>
          <w:tcPr>
            <w:tcW w:type="dxa" w:w="1512"/>
            <w:vAlign w:val="center"/>
            <w:shd w:fill="FFFFFF"/>
          </w:tcPr>
          <w:p>
            <w:pPr>
              <w:spacing w:after="40" w:before="20" w:line="254" w:lineRule="auto"/>
              <w:jc w:val="center"/>
            </w:pPr>
            <w:r>
              <w:rPr>
                <w:rFonts w:ascii="Arial" w:hAnsi="Arial"/>
                <w:sz w:val="18"/>
              </w:rPr>
              <w:t>RF-05/06</w:t>
            </w:r>
          </w:p>
        </w:tc>
        <w:tc>
          <w:tcPr>
            <w:tcW w:type="dxa" w:w="1440"/>
            <w:vAlign w:val="center"/>
            <w:shd w:fill="FFFFFF"/>
          </w:tcPr>
          <w:p>
            <w:pPr>
              <w:spacing w:after="40" w:before="20" w:line="254" w:lineRule="auto"/>
            </w:pPr>
            <w:r>
              <w:rPr>
                <w:rFonts w:ascii="Arial" w:hAnsi="Arial"/>
                <w:sz w:val="18"/>
              </w:rPr>
              <w:t>HU-05/06</w:t>
            </w:r>
          </w:p>
        </w:tc>
        <w:tc>
          <w:tcPr>
            <w:tcW w:type="dxa" w:w="1800"/>
            <w:vAlign w:val="center"/>
            <w:shd w:fill="FFFFFF"/>
          </w:tcPr>
          <w:p>
            <w:pPr>
              <w:spacing w:after="40" w:before="20" w:line="254" w:lineRule="auto"/>
            </w:pPr>
            <w:r>
              <w:rPr>
                <w:rFonts w:ascii="Arial" w:hAnsi="Arial"/>
                <w:sz w:val="18"/>
              </w:rPr>
              <w:t>CP-08/09</w:t>
            </w:r>
          </w:p>
        </w:tc>
        <w:tc>
          <w:tcPr>
            <w:tcW w:type="dxa" w:w="4886"/>
            <w:vAlign w:val="center"/>
            <w:shd w:fill="FFFFFF"/>
          </w:tcPr>
          <w:p>
            <w:pPr>
              <w:spacing w:after="40" w:before="20" w:line="254" w:lineRule="auto"/>
            </w:pPr>
            <w:r>
              <w:rPr>
                <w:rFonts w:ascii="Arial" w:hAnsi="Arial"/>
                <w:sz w:val="18"/>
              </w:rPr>
              <w:t>UniFoodExperienceTest</w:t>
            </w:r>
          </w:p>
        </w:tc>
      </w:tr>
      <w:tr>
        <w:trPr>
          <w:cantSplit/>
        </w:trPr>
        <w:tc>
          <w:tcPr>
            <w:tcW w:type="dxa" w:w="1512"/>
            <w:vAlign w:val="center"/>
            <w:shd w:fill="F2F4F6"/>
          </w:tcPr>
          <w:p>
            <w:pPr>
              <w:spacing w:after="40" w:before="20" w:line="254" w:lineRule="auto"/>
              <w:jc w:val="center"/>
            </w:pPr>
            <w:r>
              <w:rPr>
                <w:rFonts w:ascii="Arial" w:hAnsi="Arial"/>
                <w:sz w:val="18"/>
              </w:rPr>
              <w:t>RF-07/08</w:t>
            </w:r>
          </w:p>
        </w:tc>
        <w:tc>
          <w:tcPr>
            <w:tcW w:type="dxa" w:w="1440"/>
            <w:vAlign w:val="center"/>
            <w:shd w:fill="F2F4F6"/>
          </w:tcPr>
          <w:p>
            <w:pPr>
              <w:spacing w:after="40" w:before="20" w:line="254" w:lineRule="auto"/>
            </w:pPr>
            <w:r>
              <w:rPr>
                <w:rFonts w:ascii="Arial" w:hAnsi="Arial"/>
                <w:sz w:val="18"/>
              </w:rPr>
              <w:t>HU-07/08</w:t>
            </w:r>
          </w:p>
        </w:tc>
        <w:tc>
          <w:tcPr>
            <w:tcW w:type="dxa" w:w="1800"/>
            <w:vAlign w:val="center"/>
            <w:shd w:fill="F2F4F6"/>
          </w:tcPr>
          <w:p>
            <w:pPr>
              <w:spacing w:after="40" w:before="20" w:line="254" w:lineRule="auto"/>
            </w:pPr>
            <w:r>
              <w:rPr>
                <w:rFonts w:ascii="Arial" w:hAnsi="Arial"/>
                <w:sz w:val="18"/>
              </w:rPr>
              <w:t>CP-02/10/11/12/13</w:t>
            </w:r>
          </w:p>
        </w:tc>
        <w:tc>
          <w:tcPr>
            <w:tcW w:type="dxa" w:w="4886"/>
            <w:vAlign w:val="center"/>
            <w:shd w:fill="F2F4F6"/>
          </w:tcPr>
          <w:p>
            <w:pPr>
              <w:spacing w:after="40" w:before="20" w:line="254" w:lineRule="auto"/>
            </w:pPr>
            <w:r>
              <w:rPr>
                <w:rFonts w:ascii="Arial" w:hAnsi="Arial"/>
                <w:sz w:val="18"/>
              </w:rPr>
              <w:t>AdminProductosTest; Cypress y Selenium verifican apertura y Volver de CP-13; ampliar confirmación y Escape</w:t>
            </w:r>
          </w:p>
        </w:tc>
      </w:tr>
      <w:tr>
        <w:trPr>
          <w:cantSplit/>
        </w:trPr>
        <w:tc>
          <w:tcPr>
            <w:tcW w:type="dxa" w:w="1512"/>
            <w:vAlign w:val="center"/>
            <w:shd w:fill="FFFFFF"/>
          </w:tcPr>
          <w:p>
            <w:pPr>
              <w:spacing w:after="40" w:before="20" w:line="254" w:lineRule="auto"/>
              <w:jc w:val="center"/>
            </w:pPr>
            <w:r>
              <w:rPr>
                <w:rFonts w:ascii="Arial" w:hAnsi="Arial"/>
                <w:sz w:val="18"/>
              </w:rPr>
              <w:t>RF-09</w:t>
            </w:r>
          </w:p>
        </w:tc>
        <w:tc>
          <w:tcPr>
            <w:tcW w:type="dxa" w:w="1440"/>
            <w:vAlign w:val="center"/>
            <w:shd w:fill="FFFFFF"/>
          </w:tcPr>
          <w:p>
            <w:pPr>
              <w:spacing w:after="40" w:before="20" w:line="254" w:lineRule="auto"/>
            </w:pPr>
            <w:r>
              <w:rPr>
                <w:rFonts w:ascii="Arial" w:hAnsi="Arial"/>
                <w:sz w:val="18"/>
              </w:rPr>
              <w:t>HU-09</w:t>
            </w:r>
          </w:p>
        </w:tc>
        <w:tc>
          <w:tcPr>
            <w:tcW w:type="dxa" w:w="1800"/>
            <w:vAlign w:val="center"/>
            <w:shd w:fill="FFFFFF"/>
          </w:tcPr>
          <w:p>
            <w:pPr>
              <w:spacing w:after="40" w:before="20" w:line="254" w:lineRule="auto"/>
            </w:pPr>
            <w:r>
              <w:rPr>
                <w:rFonts w:ascii="Arial" w:hAnsi="Arial"/>
                <w:sz w:val="18"/>
              </w:rPr>
              <w:t>CP-14</w:t>
            </w:r>
          </w:p>
        </w:tc>
        <w:tc>
          <w:tcPr>
            <w:tcW w:type="dxa" w:w="4886"/>
            <w:vAlign w:val="center"/>
            <w:shd w:fill="FFFFFF"/>
          </w:tcPr>
          <w:p>
            <w:pPr>
              <w:spacing w:after="40" w:before="20" w:line="254" w:lineRule="auto"/>
            </w:pPr>
            <w:r>
              <w:rPr>
                <w:rFonts w:ascii="Arial" w:hAnsi="Arial"/>
                <w:sz w:val="18"/>
              </w:rPr>
              <w:t>Ampliación pendiente para cancelación y confirmación</w:t>
            </w:r>
          </w:p>
        </w:tc>
      </w:tr>
      <w:tr>
        <w:trPr>
          <w:cantSplit/>
        </w:trPr>
        <w:tc>
          <w:tcPr>
            <w:tcW w:type="dxa" w:w="1512"/>
            <w:vAlign w:val="center"/>
            <w:shd w:fill="F2F4F6"/>
          </w:tcPr>
          <w:p>
            <w:pPr>
              <w:spacing w:after="40" w:before="20" w:line="254" w:lineRule="auto"/>
              <w:jc w:val="center"/>
            </w:pPr>
            <w:r>
              <w:rPr>
                <w:rFonts w:ascii="Arial" w:hAnsi="Arial"/>
                <w:sz w:val="18"/>
              </w:rPr>
              <w:t>RF-10</w:t>
            </w:r>
          </w:p>
        </w:tc>
        <w:tc>
          <w:tcPr>
            <w:tcW w:type="dxa" w:w="1440"/>
            <w:vAlign w:val="center"/>
            <w:shd w:fill="F2F4F6"/>
          </w:tcPr>
          <w:p>
            <w:pPr>
              <w:spacing w:after="40" w:before="20" w:line="254" w:lineRule="auto"/>
            </w:pPr>
            <w:r>
              <w:rPr>
                <w:rFonts w:ascii="Arial" w:hAnsi="Arial"/>
                <w:sz w:val="18"/>
              </w:rPr>
              <w:t>HU-10</w:t>
            </w:r>
          </w:p>
        </w:tc>
        <w:tc>
          <w:tcPr>
            <w:tcW w:type="dxa" w:w="1800"/>
            <w:vAlign w:val="center"/>
            <w:shd w:fill="F2F4F6"/>
          </w:tcPr>
          <w:p>
            <w:pPr>
              <w:spacing w:after="40" w:before="20" w:line="254" w:lineRule="auto"/>
            </w:pPr>
            <w:r>
              <w:rPr>
                <w:rFonts w:ascii="Arial" w:hAnsi="Arial"/>
                <w:sz w:val="18"/>
              </w:rPr>
              <w:t>CP-15/16</w:t>
            </w:r>
          </w:p>
        </w:tc>
        <w:tc>
          <w:tcPr>
            <w:tcW w:type="dxa" w:w="4886"/>
            <w:vAlign w:val="center"/>
            <w:shd w:fill="F2F4F6"/>
          </w:tcPr>
          <w:p>
            <w:pPr>
              <w:spacing w:after="40" w:before="20" w:line="254" w:lineRule="auto"/>
            </w:pPr>
            <w:r>
              <w:rPr>
                <w:rFonts w:ascii="Arial" w:hAnsi="Arial"/>
                <w:sz w:val="18"/>
              </w:rPr>
              <w:t>Pruebas del worker, Cypress y Selenium a 390 px; instalación física y teclado no verificados</w:t>
            </w:r>
          </w:p>
        </w:tc>
      </w:tr>
      <w:tr>
        <w:trPr>
          <w:cantSplit/>
        </w:trPr>
        <w:tc>
          <w:tcPr>
            <w:tcW w:type="dxa" w:w="1512"/>
            <w:vAlign w:val="center"/>
            <w:shd w:fill="FFFFFF"/>
          </w:tcPr>
          <w:p>
            <w:pPr>
              <w:spacing w:after="40" w:before="20" w:line="254" w:lineRule="auto"/>
              <w:jc w:val="center"/>
            </w:pPr>
            <w:r>
              <w:rPr>
                <w:rFonts w:ascii="Arial" w:hAnsi="Arial"/>
                <w:sz w:val="18"/>
              </w:rPr>
              <w:t>RF-11</w:t>
            </w:r>
          </w:p>
        </w:tc>
        <w:tc>
          <w:tcPr>
            <w:tcW w:type="dxa" w:w="1440"/>
            <w:vAlign w:val="center"/>
            <w:shd w:fill="FFFFFF"/>
          </w:tcPr>
          <w:p>
            <w:pPr>
              <w:spacing w:after="40" w:before="20" w:line="254" w:lineRule="auto"/>
            </w:pPr>
            <w:r>
              <w:rPr>
                <w:rFonts w:ascii="Arial" w:hAnsi="Arial"/>
                <w:sz w:val="18"/>
              </w:rPr>
              <w:t>Corrección DEF-03</w:t>
            </w:r>
          </w:p>
        </w:tc>
        <w:tc>
          <w:tcPr>
            <w:tcW w:type="dxa" w:w="1800"/>
            <w:vAlign w:val="center"/>
            <w:shd w:fill="FFFFFF"/>
          </w:tcPr>
          <w:p>
            <w:pPr>
              <w:spacing w:after="40" w:before="20" w:line="254" w:lineRule="auto"/>
            </w:pPr>
            <w:r>
              <w:rPr>
                <w:rFonts w:ascii="Arial" w:hAnsi="Arial"/>
                <w:sz w:val="18"/>
              </w:rPr>
              <w:t>CP-17</w:t>
            </w:r>
          </w:p>
        </w:tc>
        <w:tc>
          <w:tcPr>
            <w:tcW w:type="dxa" w:w="4886"/>
            <w:vAlign w:val="center"/>
            <w:shd w:fill="FFFFFF"/>
          </w:tcPr>
          <w:p>
            <w:pPr>
              <w:spacing w:after="40" w:before="20" w:line="254" w:lineRule="auto"/>
            </w:pPr>
            <w:r>
              <w:rPr>
                <w:rFonts w:ascii="Arial" w:hAnsi="Arial"/>
                <w:sz w:val="18"/>
              </w:rPr>
              <w:t>PasswordRecoveryTest: hash, vencimiento, uso único y throttle; registro de estudiante requiere ampliar campaña</w:t>
            </w:r>
          </w:p>
        </w:tc>
      </w:tr>
    </w:tbl>
    <w:p>
      <w:pPr>
        <w:spacing w:after="80" w:line="40" w:lineRule="exact"/>
      </w:pPr>
      <w:r>
        <w:rPr>
          <w:sz w:val="4"/>
        </w:rPr>
      </w:r>
    </w:p>
    <w:p>
      <w:r>
        <w:t>La suite PHP contiene principalmente pruebas funcionales y de integración con Laravel. La cobertura de caja blanca requerirá instrumentación de sentencias y ramas; actualmente no se dispone de esa medición.</w:t>
      </w:r>
    </w:p>
    <w:p>
      <w:bookmarkStart w:id="106" w:name="sec_7"/>
      <w:pPr>
        <w:pStyle w:val="Heading1"/>
      </w:pPr>
      <w:r>
        <w:t>Prácticas orientadas a la calidad</w:t>
      </w:r>
      <w:bookmarkEnd w:id="106"/>
    </w:p>
    <w:p>
      <w:pPr>
        <w:pStyle w:val="Heading2"/>
      </w:pPr>
      <w:r>
        <w:t>Ejemplo de escenario BDD propuesto</w:t>
      </w:r>
    </w:p>
    <w:p>
      <w:pPr>
        <w:keepLines/>
        <w:shd w:fill="F2F4F6"/>
      </w:pPr>
      <w:r>
        <w:rPr>
          <w:rFonts w:ascii="Consolas" w:hAnsi="Consolas"/>
          <w:sz w:val="18"/>
        </w:rPr>
        <w:t>Característica: Control del catálogo</w:t>
        <w:br/>
        <w:t xml:space="preserve">  Escenario: Desactivar un producto desde su edición</w:t>
        <w:br/>
        <w:t xml:space="preserve">    Dado que un administrador edita un producto activo</w:t>
        <w:br/>
        <w:t xml:space="preserve">    Cuando desmarca Activo y guarda cambios válidos</w:t>
        <w:br/>
        <w:t xml:space="preserve">    Entonces el producto queda inactivo</w:t>
        <w:br/>
        <w:t xml:space="preserve">    Y el estudiante deja de verlo en el catálogo</w:t>
        <w:br/>
        <w:t xml:space="preserve">    Y se conserva el registro para poder reactivarlo</w:t>
      </w:r>
    </w:p>
    <w:p>
      <w:r>
        <w:t>Segundo criterio de aceptación propuesto para la misma historia: al volver a marcar Activo y guardar, el producto reaparece para el estudiante. Acordar ambos criterios con quien ejerza PO antes del próximo cambio para aplicar ATDD. La redacción Gherkin todavía no implica que exista un ejecutor BDD configurado.</w:t>
      </w:r>
    </w:p>
    <w:p>
      <w:pPr>
        <w:pStyle w:val="Heading2"/>
      </w:pPr>
      <w:r>
        <w:t>Corrección guiada por pruebas ya observada</w:t>
      </w:r>
    </w:p>
    <w:p>
      <w:r>
        <w:t>Se añadieron pruebas para las casillas de administración, se ejecutaron contra el comportamiento anterior y se observaron dos fallos. Se corrigió el guardado de Disponible/Activo y después la suite PHP pasó con 11 pruebas y 94 aserciones.</w:t>
      </w:r>
    </w:p>
    <w:p>
      <w:r>
        <w:t>Esto sirve como ejemplo de regresión con un ciclo rojo-verde durante la corrección de defectos. No prueba que todo UniFood haya sido desarrollado con TDD, ni que se completara/documentara una fase específica de refactorización. Los resultados se conservan en el anexo de verificación automatizada. El estado corregido se relaciona con el commit revisado.</w:t>
      </w:r>
    </w:p>
    <w:p>
      <w:pPr>
        <w:pStyle w:val="Heading2"/>
      </w:pPr>
      <w:r>
        <w:t>Dominio y DDD</w:t>
      </w:r>
    </w:p>
    <w:p>
      <w:r>
        <w:t>Glosario inicial: Producto (actividad, disponibilidad, categoría y precio); Carrito (selección temporal de productos/cantidades); Pedido (solicitud con detalles, importe y estado); DetallePedido (copia de nombre, precio y cantidad); Usuario (cuenta con rol).</w:t>
      </w:r>
    </w:p>
    <w:p>
      <w:r>
        <w:t>Usar ese lenguaje consistente en historias, código y pruebas. Identificar entidades es una introducción al modelado del dominio, no evidencia de una implantación completa de DDD ni motivo suficiente para rehacer la arquitectura antes de la entrega.</w:t>
      </w:r>
    </w:p>
    <w:p>
      <w:bookmarkStart w:id="107" w:name="sec_8"/>
      <w:pPr>
        <w:pStyle w:val="Heading1"/>
      </w:pPr>
      <w:r>
        <w:t>Revisión y registro de hallazgos</w:t>
      </w:r>
      <w:bookmarkEnd w:id="107"/>
    </w:p>
    <w:p>
      <w:r>
        <w:t>Este registro recoge observaciones técnicas y brechas documentales. No constituye una auditoría independiente final; debe ser revisado por otro integrante con fecha y evidencia.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008"/>
        <w:gridCol w:w="2592"/>
        <w:gridCol w:w="2592"/>
        <w:gridCol w:w="3446"/>
      </w:tblGrid>
      <w:tr>
        <w:trPr>
          <w:cantSplit/>
          <w:tblHeader/>
        </w:trPr>
        <w:tc>
          <w:tcPr>
            <w:tcW w:type="dxa" w:w="1008"/>
            <w:vAlign w:val="center"/>
            <w:shd w:fill="303841"/>
          </w:tcPr>
          <w:p>
            <w:pPr>
              <w:keepNext/>
              <w:spacing w:after="40" w:before="20" w:line="254" w:lineRule="auto"/>
              <w:jc w:val="center"/>
            </w:pPr>
            <w:r>
              <w:rPr>
                <w:rFonts w:ascii="Arial" w:hAnsi="Arial"/>
                <w:b/>
                <w:color w:val="FFFFFF"/>
                <w:sz w:val="18"/>
              </w:rPr>
              <w:t>ID</w:t>
            </w:r>
          </w:p>
        </w:tc>
        <w:tc>
          <w:tcPr>
            <w:tcW w:type="dxa" w:w="2592"/>
            <w:vAlign w:val="center"/>
            <w:shd w:fill="303841"/>
          </w:tcPr>
          <w:p>
            <w:pPr>
              <w:keepNext/>
              <w:spacing w:after="40" w:before="20" w:line="254" w:lineRule="auto"/>
            </w:pPr>
            <w:r>
              <w:rPr>
                <w:rFonts w:ascii="Arial" w:hAnsi="Arial"/>
                <w:b/>
                <w:color w:val="FFFFFF"/>
                <w:sz w:val="18"/>
              </w:rPr>
              <w:t>Hallazgo</w:t>
            </w:r>
          </w:p>
        </w:tc>
        <w:tc>
          <w:tcPr>
            <w:tcW w:type="dxa" w:w="2592"/>
            <w:vAlign w:val="center"/>
            <w:shd w:fill="303841"/>
          </w:tcPr>
          <w:p>
            <w:pPr>
              <w:keepNext/>
              <w:spacing w:after="40" w:before="20" w:line="254" w:lineRule="auto"/>
            </w:pPr>
            <w:r>
              <w:rPr>
                <w:rFonts w:ascii="Arial" w:hAnsi="Arial"/>
                <w:b/>
                <w:color w:val="FFFFFF"/>
                <w:sz w:val="18"/>
              </w:rPr>
              <w:t>Acción/estado</w:t>
            </w:r>
          </w:p>
        </w:tc>
        <w:tc>
          <w:tcPr>
            <w:tcW w:type="dxa" w:w="3446"/>
            <w:vAlign w:val="center"/>
            <w:shd w:fill="303841"/>
          </w:tcPr>
          <w:p>
            <w:pPr>
              <w:keepNext/>
              <w:spacing w:after="40" w:before="20" w:line="254" w:lineRule="auto"/>
            </w:pPr>
            <w:r>
              <w:rPr>
                <w:rFonts w:ascii="Arial" w:hAnsi="Arial"/>
                <w:b/>
                <w:color w:val="FFFFFF"/>
                <w:sz w:val="18"/>
              </w:rPr>
              <w:t>Evidencia disponible y pendiente</w:t>
            </w:r>
          </w:p>
        </w:tc>
      </w:tr>
      <w:tr>
        <w:trPr>
          <w:cantSplit/>
        </w:trPr>
        <w:tc>
          <w:tcPr>
            <w:tcW w:type="dxa" w:w="1008"/>
            <w:vAlign w:val="center"/>
            <w:shd w:fill="FFFFFF"/>
          </w:tcPr>
          <w:p>
            <w:pPr>
              <w:spacing w:after="40" w:before="20" w:line="254" w:lineRule="auto"/>
              <w:jc w:val="center"/>
            </w:pPr>
            <w:r>
              <w:rPr>
                <w:rFonts w:ascii="Arial" w:hAnsi="Arial"/>
                <w:sz w:val="18"/>
              </w:rPr>
              <w:t>DEF-01</w:t>
            </w:r>
          </w:p>
        </w:tc>
        <w:tc>
          <w:tcPr>
            <w:tcW w:type="dxa" w:w="2592"/>
            <w:vAlign w:val="center"/>
            <w:shd w:fill="FFFFFF"/>
          </w:tcPr>
          <w:p>
            <w:pPr>
              <w:spacing w:after="40" w:before="20" w:line="254" w:lineRule="auto"/>
            </w:pPr>
            <w:r>
              <w:rPr>
                <w:rFonts w:ascii="Arial" w:hAnsi="Arial"/>
                <w:sz w:val="18"/>
              </w:rPr>
              <w:t>Crear producto con Disponible desmarcado podía guardarlo disponible</w:t>
            </w:r>
          </w:p>
        </w:tc>
        <w:tc>
          <w:tcPr>
            <w:tcW w:type="dxa" w:w="2592"/>
            <w:vAlign w:val="center"/>
            <w:shd w:fill="FFFFFF"/>
          </w:tcPr>
          <w:p>
            <w:pPr>
              <w:spacing w:after="40" w:before="20" w:line="254" w:lineRule="auto"/>
            </w:pPr>
            <w:r>
              <w:rPr>
                <w:rFonts w:ascii="Arial" w:hAnsi="Arial"/>
                <w:sz w:val="18"/>
              </w:rPr>
              <w:t>Corregido y verificado mediante regresión automatizada</w:t>
            </w:r>
          </w:p>
        </w:tc>
        <w:tc>
          <w:tcPr>
            <w:tcW w:type="dxa" w:w="3446"/>
            <w:vAlign w:val="center"/>
            <w:shd w:fill="FFFFFF"/>
          </w:tcPr>
          <w:p>
            <w:pPr>
              <w:spacing w:after="40" w:before="20" w:line="254" w:lineRule="auto"/>
            </w:pPr>
            <w:r>
              <w:rPr>
                <w:rFonts w:ascii="Arial" w:hAnsi="Arial"/>
                <w:sz w:val="18"/>
              </w:rPr>
              <w:t>AdminProductosTest y registro de ejecución del anexo</w:t>
            </w:r>
          </w:p>
        </w:tc>
      </w:tr>
      <w:tr>
        <w:trPr>
          <w:cantSplit/>
        </w:trPr>
        <w:tc>
          <w:tcPr>
            <w:tcW w:type="dxa" w:w="1008"/>
            <w:vAlign w:val="center"/>
            <w:shd w:fill="F2F4F6"/>
          </w:tcPr>
          <w:p>
            <w:pPr>
              <w:spacing w:after="40" w:before="20" w:line="254" w:lineRule="auto"/>
              <w:jc w:val="center"/>
            </w:pPr>
            <w:r>
              <w:rPr>
                <w:rFonts w:ascii="Arial" w:hAnsi="Arial"/>
                <w:sz w:val="18"/>
              </w:rPr>
              <w:t>DEF-02</w:t>
            </w:r>
          </w:p>
        </w:tc>
        <w:tc>
          <w:tcPr>
            <w:tcW w:type="dxa" w:w="2592"/>
            <w:vAlign w:val="center"/>
            <w:shd w:fill="F2F4F6"/>
          </w:tcPr>
          <w:p>
            <w:pPr>
              <w:spacing w:after="40" w:before="20" w:line="254" w:lineRule="auto"/>
            </w:pPr>
            <w:r>
              <w:rPr>
                <w:rFonts w:ascii="Arial" w:hAnsi="Arial"/>
                <w:sz w:val="18"/>
              </w:rPr>
              <w:t>Desmarcar Activo al editar no retiraba el producto</w:t>
            </w:r>
          </w:p>
        </w:tc>
        <w:tc>
          <w:tcPr>
            <w:tcW w:type="dxa" w:w="2592"/>
            <w:vAlign w:val="center"/>
            <w:shd w:fill="F2F4F6"/>
          </w:tcPr>
          <w:p>
            <w:pPr>
              <w:spacing w:after="40" w:before="20" w:line="254" w:lineRule="auto"/>
            </w:pPr>
            <w:r>
              <w:rPr>
                <w:rFonts w:ascii="Arial" w:hAnsi="Arial"/>
                <w:sz w:val="18"/>
              </w:rPr>
              <w:t>Corregido; prueba de retiro/reactivación</w:t>
            </w:r>
          </w:p>
        </w:tc>
        <w:tc>
          <w:tcPr>
            <w:tcW w:type="dxa" w:w="3446"/>
            <w:vAlign w:val="center"/>
            <w:shd w:fill="F2F4F6"/>
          </w:tcPr>
          <w:p>
            <w:pPr>
              <w:spacing w:after="40" w:before="20" w:line="254" w:lineRule="auto"/>
            </w:pPr>
            <w:r>
              <w:rPr>
                <w:rFonts w:ascii="Arial" w:hAnsi="Arial"/>
                <w:sz w:val="18"/>
              </w:rPr>
              <w:t>AdminProductosTest y verificación de retiro y reactivación del catálogo</w:t>
            </w:r>
          </w:p>
        </w:tc>
      </w:tr>
      <w:tr>
        <w:trPr>
          <w:cantSplit/>
        </w:trPr>
        <w:tc>
          <w:tcPr>
            <w:tcW w:type="dxa" w:w="1008"/>
            <w:vAlign w:val="center"/>
            <w:shd w:fill="FFFFFF"/>
          </w:tcPr>
          <w:p>
            <w:pPr>
              <w:spacing w:after="40" w:before="20" w:line="254" w:lineRule="auto"/>
              <w:jc w:val="center"/>
            </w:pPr>
            <w:r>
              <w:rPr>
                <w:rFonts w:ascii="Arial" w:hAnsi="Arial"/>
                <w:sz w:val="18"/>
              </w:rPr>
              <w:t>OBS-01</w:t>
            </w:r>
          </w:p>
        </w:tc>
        <w:tc>
          <w:tcPr>
            <w:tcW w:type="dxa" w:w="2592"/>
            <w:vAlign w:val="center"/>
            <w:shd w:fill="FFFFFF"/>
          </w:tcPr>
          <w:p>
            <w:pPr>
              <w:spacing w:after="40" w:before="20" w:line="254" w:lineRule="auto"/>
            </w:pPr>
            <w:r>
              <w:rPr>
                <w:rFonts w:ascii="Arial" w:hAnsi="Arial"/>
                <w:sz w:val="18"/>
              </w:rPr>
              <w:t>Ausencia inicial de Test Plan y backlog documental</w:t>
            </w:r>
          </w:p>
        </w:tc>
        <w:tc>
          <w:tcPr>
            <w:tcW w:type="dxa" w:w="2592"/>
            <w:vAlign w:val="center"/>
            <w:shd w:fill="FFFFFF"/>
          </w:tcPr>
          <w:p>
            <w:pPr>
              <w:spacing w:after="40" w:before="20" w:line="254" w:lineRule="auto"/>
            </w:pPr>
            <w:r>
              <w:rPr>
                <w:rFonts w:ascii="Arial" w:hAnsi="Arial"/>
                <w:sz w:val="18"/>
              </w:rPr>
              <w:t>Línea base documental elaborada en esta entrega</w:t>
            </w:r>
          </w:p>
        </w:tc>
        <w:tc>
          <w:tcPr>
            <w:tcW w:type="dxa" w:w="3446"/>
            <w:vAlign w:val="center"/>
            <w:shd w:fill="FFFFFF"/>
          </w:tcPr>
          <w:p>
            <w:pPr>
              <w:spacing w:after="40" w:before="20" w:line="254" w:lineRule="auto"/>
            </w:pPr>
            <w:r>
              <w:rPr>
                <w:rFonts w:ascii="Arial" w:hAnsi="Arial"/>
                <w:sz w:val="18"/>
              </w:rPr>
              <w:t>Este informe</w:t>
            </w:r>
          </w:p>
        </w:tc>
      </w:tr>
      <w:tr>
        <w:trPr>
          <w:cantSplit/>
        </w:trPr>
        <w:tc>
          <w:tcPr>
            <w:tcW w:type="dxa" w:w="1008"/>
            <w:vAlign w:val="center"/>
            <w:shd w:fill="F2F4F6"/>
          </w:tcPr>
          <w:p>
            <w:pPr>
              <w:spacing w:after="40" w:before="20" w:line="254" w:lineRule="auto"/>
              <w:jc w:val="center"/>
            </w:pPr>
            <w:r>
              <w:rPr>
                <w:rFonts w:ascii="Arial" w:hAnsi="Arial"/>
                <w:sz w:val="18"/>
              </w:rPr>
              <w:t>OBS-02</w:t>
            </w:r>
          </w:p>
        </w:tc>
        <w:tc>
          <w:tcPr>
            <w:tcW w:type="dxa" w:w="2592"/>
            <w:vAlign w:val="center"/>
            <w:shd w:fill="F2F4F6"/>
          </w:tcPr>
          <w:p>
            <w:pPr>
              <w:spacing w:after="40" w:before="20" w:line="254" w:lineRule="auto"/>
            </w:pPr>
            <w:r>
              <w:rPr>
                <w:rFonts w:ascii="Arial" w:hAnsi="Arial"/>
                <w:sz w:val="18"/>
              </w:rPr>
              <w:t>Faltaba ejecución de dos herramientas y CI</w:t>
            </w:r>
          </w:p>
        </w:tc>
        <w:tc>
          <w:tcPr>
            <w:tcW w:type="dxa" w:w="2592"/>
            <w:vAlign w:val="center"/>
            <w:shd w:fill="F2F4F6"/>
          </w:tcPr>
          <w:p>
            <w:pPr>
              <w:spacing w:after="40" w:before="20" w:line="254" w:lineRule="auto"/>
            </w:pPr>
            <w:r>
              <w:rPr>
                <w:rFonts w:ascii="Arial" w:hAnsi="Arial"/>
                <w:sz w:val="18"/>
              </w:rPr>
              <w:t>Cerrado técnicamente: Cypress 7/7 y Selenium 4/4; CI aprobado</w:t>
            </w:r>
          </w:p>
        </w:tc>
        <w:tc>
          <w:tcPr>
            <w:tcW w:type="dxa" w:w="3446"/>
            <w:vAlign w:val="center"/>
            <w:shd w:fill="F2F4F6"/>
          </w:tcPr>
          <w:p>
            <w:pPr>
              <w:spacing w:after="40" w:before="20" w:line="254" w:lineRule="auto"/>
            </w:pPr>
            <w:r>
              <w:rPr>
                <w:rFonts w:ascii="Arial" w:hAnsi="Arial"/>
                <w:sz w:val="18"/>
              </w:rPr>
              <w:t>Ejecución 40628543184 y artefactos XML, JSON y capturas</w:t>
            </w:r>
          </w:p>
        </w:tc>
      </w:tr>
      <w:tr>
        <w:trPr>
          <w:cantSplit/>
        </w:trPr>
        <w:tc>
          <w:tcPr>
            <w:tcW w:type="dxa" w:w="1008"/>
            <w:vAlign w:val="center"/>
            <w:shd w:fill="FFFFFF"/>
          </w:tcPr>
          <w:p>
            <w:pPr>
              <w:spacing w:after="40" w:before="20" w:line="254" w:lineRule="auto"/>
              <w:jc w:val="center"/>
            </w:pPr>
            <w:r>
              <w:rPr>
                <w:rFonts w:ascii="Arial" w:hAnsi="Arial"/>
                <w:sz w:val="18"/>
              </w:rPr>
              <w:t>DEF-03 antes OBS-03</w:t>
            </w:r>
          </w:p>
        </w:tc>
        <w:tc>
          <w:tcPr>
            <w:tcW w:type="dxa" w:w="2592"/>
            <w:vAlign w:val="center"/>
            <w:shd w:fill="FFFFFF"/>
          </w:tcPr>
          <w:p>
            <w:pPr>
              <w:spacing w:after="40" w:before="20" w:line="254" w:lineRule="auto"/>
            </w:pPr>
            <w:r>
              <w:rPr>
                <w:rFonts w:ascii="Arial" w:hAnsi="Arial"/>
                <w:sz w:val="18"/>
              </w:rPr>
              <w:t>Recuperación sin comprobación de edad del token</w:t>
            </w:r>
          </w:p>
        </w:tc>
        <w:tc>
          <w:tcPr>
            <w:tcW w:type="dxa" w:w="2592"/>
            <w:vAlign w:val="center"/>
            <w:shd w:fill="FFFFFF"/>
          </w:tcPr>
          <w:p>
            <w:pPr>
              <w:spacing w:after="40" w:before="20" w:line="254" w:lineRule="auto"/>
            </w:pPr>
            <w:r>
              <w:rPr>
                <w:rFonts w:ascii="Arial" w:hAnsi="Arial"/>
                <w:sz w:val="18"/>
              </w:rPr>
              <w:t>Corregido con broker de Laravel: hash, vencimiento, uso único y throttle</w:t>
            </w:r>
          </w:p>
        </w:tc>
        <w:tc>
          <w:tcPr>
            <w:tcW w:type="dxa" w:w="3446"/>
            <w:vAlign w:val="center"/>
            <w:shd w:fill="FFFFFF"/>
          </w:tcPr>
          <w:p>
            <w:pPr>
              <w:spacing w:after="40" w:before="20" w:line="254" w:lineRule="auto"/>
            </w:pPr>
            <w:r>
              <w:rPr>
                <w:rFonts w:ascii="Arial" w:hAnsi="Arial"/>
                <w:sz w:val="18"/>
              </w:rPr>
              <w:t>PasswordRecoveryTest, tres regresiones; issue 12 cerrado con evidencia CI</w:t>
            </w:r>
          </w:p>
        </w:tc>
      </w:tr>
      <w:tr>
        <w:trPr>
          <w:cantSplit/>
        </w:trPr>
        <w:tc>
          <w:tcPr>
            <w:tcW w:type="dxa" w:w="1008"/>
            <w:vAlign w:val="center"/>
            <w:shd w:fill="F2F4F6"/>
          </w:tcPr>
          <w:p>
            <w:pPr>
              <w:spacing w:after="40" w:before="20" w:line="254" w:lineRule="auto"/>
              <w:jc w:val="center"/>
            </w:pPr>
            <w:r>
              <w:rPr>
                <w:rFonts w:ascii="Arial" w:hAnsi="Arial"/>
                <w:sz w:val="18"/>
              </w:rPr>
              <w:t>OBS-04</w:t>
            </w:r>
          </w:p>
        </w:tc>
        <w:tc>
          <w:tcPr>
            <w:tcW w:type="dxa" w:w="2592"/>
            <w:vAlign w:val="center"/>
            <w:shd w:fill="F2F4F6"/>
          </w:tcPr>
          <w:p>
            <w:pPr>
              <w:spacing w:after="40" w:before="20" w:line="254" w:lineRule="auto"/>
            </w:pPr>
            <w:r>
              <w:rPr>
                <w:rFonts w:ascii="Arial" w:hAnsi="Arial"/>
                <w:sz w:val="18"/>
              </w:rPr>
              <w:t>Instalación PWA en teléfono real sin evidencia</w:t>
            </w:r>
          </w:p>
        </w:tc>
        <w:tc>
          <w:tcPr>
            <w:tcW w:type="dxa" w:w="2592"/>
            <w:vAlign w:val="center"/>
            <w:shd w:fill="F2F4F6"/>
          </w:tcPr>
          <w:p>
            <w:pPr>
              <w:spacing w:after="40" w:before="20" w:line="254" w:lineRule="auto"/>
            </w:pPr>
            <w:r>
              <w:rPr>
                <w:rFonts w:ascii="Arial" w:hAnsi="Arial"/>
                <w:sz w:val="18"/>
              </w:rPr>
              <w:t>Pendiente</w:t>
            </w:r>
          </w:p>
        </w:tc>
        <w:tc>
          <w:tcPr>
            <w:tcW w:type="dxa" w:w="3446"/>
            <w:vAlign w:val="center"/>
            <w:shd w:fill="F2F4F6"/>
          </w:tcPr>
          <w:p>
            <w:pPr>
              <w:spacing w:after="40" w:before="20" w:line="254" w:lineRule="auto"/>
            </w:pPr>
            <w:r>
              <w:rPr>
                <w:rFonts w:ascii="Arial" w:hAnsi="Arial"/>
                <w:sz w:val="18"/>
              </w:rPr>
              <w:t>Registrar dispositivo, navegador, HTTPS y capturas</w:t>
            </w:r>
          </w:p>
        </w:tc>
      </w:tr>
      <w:tr>
        <w:trPr>
          <w:cantSplit/>
        </w:trPr>
        <w:tc>
          <w:tcPr>
            <w:tcW w:type="dxa" w:w="1008"/>
            <w:vAlign w:val="center"/>
            <w:shd w:fill="FFFFFF"/>
          </w:tcPr>
          <w:p>
            <w:pPr>
              <w:spacing w:after="40" w:before="20" w:line="254" w:lineRule="auto"/>
              <w:jc w:val="center"/>
            </w:pPr>
            <w:r>
              <w:rPr>
                <w:rFonts w:ascii="Arial" w:hAnsi="Arial"/>
                <w:sz w:val="18"/>
              </w:rPr>
              <w:t>OBS-05</w:t>
            </w:r>
          </w:p>
        </w:tc>
        <w:tc>
          <w:tcPr>
            <w:tcW w:type="dxa" w:w="2592"/>
            <w:vAlign w:val="center"/>
            <w:shd w:fill="FFFFFF"/>
          </w:tcPr>
          <w:p>
            <w:pPr>
              <w:spacing w:after="40" w:before="20" w:line="254" w:lineRule="auto"/>
            </w:pPr>
            <w:r>
              <w:rPr>
                <w:rFonts w:ascii="Arial" w:hAnsi="Arial"/>
                <w:sz w:val="18"/>
              </w:rPr>
              <w:t>Falta de registros de ejecución de los eventos Scrum</w:t>
            </w:r>
          </w:p>
        </w:tc>
        <w:tc>
          <w:tcPr>
            <w:tcW w:type="dxa" w:w="2592"/>
            <w:vAlign w:val="center"/>
            <w:shd w:fill="FFFFFF"/>
          </w:tcPr>
          <w:p>
            <w:pPr>
              <w:spacing w:after="40" w:before="20" w:line="254" w:lineRule="auto"/>
            </w:pPr>
            <w:r>
              <w:rPr>
                <w:rFonts w:ascii="Arial" w:hAnsi="Arial"/>
                <w:sz w:val="18"/>
              </w:rPr>
              <w:t>Formalización y ejecución planificadas</w:t>
            </w:r>
          </w:p>
        </w:tc>
        <w:tc>
          <w:tcPr>
            <w:tcW w:type="dxa" w:w="3446"/>
            <w:vAlign w:val="center"/>
            <w:shd w:fill="FFFFFF"/>
          </w:tcPr>
          <w:p>
            <w:pPr>
              <w:spacing w:after="40" w:before="20" w:line="254" w:lineRule="auto"/>
            </w:pPr>
            <w:r>
              <w:rPr>
                <w:rFonts w:ascii="Arial" w:hAnsi="Arial"/>
                <w:sz w:val="18"/>
              </w:rPr>
              <w:t>Roles confirmados y formato para eventos reales</w:t>
            </w:r>
          </w:p>
        </w:tc>
      </w:tr>
    </w:tbl>
    <w:p>
      <w:pPr>
        <w:spacing w:after="80" w:line="40" w:lineRule="exact"/>
      </w:pPr>
      <w:r>
        <w:rPr>
          <w:sz w:val="4"/>
        </w:rPr>
      </w:r>
    </w:p>
    <w:p>
      <w:r>
        <w:t>Checklist para revisión/inspección: criterios inequívocos; roles autorizados; validación en servidor; totales correctos; transiciones permitidas; respeto de casillas; casos negativos; protección de datos; resultados trazables; claridad de mensajes; evidencia repetible.</w:t>
      </w:r>
    </w:p>
    <w:p>
      <w:r>
        <w:t>Formato de auditoría propuesto: objetivo | alcance | criterio | evidencia examinada | responsable real | hallazgo | severidad | acción | fecha límite | responsable de acción | verificación de cierre. Concluir sobre lo comprobado y mantener pendientes explícitos.</w:t>
      </w:r>
    </w:p>
    <w:p>
      <w:bookmarkStart w:id="108" w:name="sec_9"/>
      <w:pPr>
        <w:pStyle w:val="Heading1"/>
      </w:pPr>
      <w:r>
        <w:t>Plan de acciones de mejora</w:t>
      </w:r>
      <w:bookmarkEnd w:id="108"/>
    </w:p>
    <w:p>
      <w:pPr>
        <w:pStyle w:val="ListNumber"/>
        <w:numPr>
          <w:ilvl w:val="0"/>
          <w:numId w:val="11"/>
        </w:numPr>
      </w:pPr>
      <w:r>
        <w:t>Acordar roles, alcance, fecha y objetivo de la iteración; revisar RF/RN y casos críticos.</w:t>
      </w:r>
    </w:p>
    <w:p>
      <w:pPr>
        <w:pStyle w:val="ListNumber"/>
        <w:numPr>
          <w:ilvl w:val="0"/>
          <w:numId w:val="11"/>
        </w:numPr>
      </w:pPr>
      <w:r>
        <w:t>Validar la línea base y establecer el tablero con historias, casos y evidencias vinculadas.</w:t>
      </w:r>
    </w:p>
    <w:p>
      <w:pPr>
        <w:pStyle w:val="ListNumber"/>
        <w:numPr>
          <w:ilvl w:val="0"/>
          <w:numId w:val="11"/>
        </w:numPr>
      </w:pPr>
      <w:r>
        <w:t>Conservar la campaña CI aprobada y repetirla ante nuevos cambios; revisar artefactos y enlazarlos a los casos correspondientes.</w:t>
      </w:r>
    </w:p>
    <w:p>
      <w:pPr>
        <w:pStyle w:val="ListNumber"/>
        <w:numPr>
          <w:ilvl w:val="0"/>
          <w:numId w:val="11"/>
        </w:numPr>
      </w:pPr>
      <w:r>
        <w:t>Ejecutar la suite de la versión que se presentará y guardar reportes con commit, entorno y fecha.</w:t>
      </w:r>
    </w:p>
    <w:p>
      <w:pPr>
        <w:pStyle w:val="ListNumber"/>
        <w:numPr>
          <w:ilvl w:val="0"/>
          <w:numId w:val="11"/>
        </w:numPr>
      </w:pPr>
      <w:r>
        <w:t>Probar manualmente estudiante → pedido → empleado → entrega y administrador → producto → catálogo.</w:t>
      </w:r>
    </w:p>
    <w:p>
      <w:pPr>
        <w:pStyle w:val="ListNumber"/>
        <w:numPr>
          <w:ilvl w:val="0"/>
          <w:numId w:val="11"/>
        </w:numPr>
      </w:pPr>
      <w:r>
        <w:t>Ejecutar negativos: carrito vacío, producto agotado, pedido ajeno, permisos y casillas desmarcadas.</w:t>
      </w:r>
    </w:p>
    <w:p>
      <w:pPr>
        <w:pStyle w:val="ListNumber"/>
        <w:numPr>
          <w:ilvl w:val="0"/>
          <w:numId w:val="11"/>
        </w:numPr>
      </w:pPr>
      <w:r>
        <w:t>Registrar revisión/inspección de HU-07 y HU-08 usando DEF-01/02; completar auditoría con otro integrante.</w:t>
      </w:r>
    </w:p>
    <w:p>
      <w:pPr>
        <w:pStyle w:val="ListNumber"/>
        <w:numPr>
          <w:ilvl w:val="0"/>
          <w:numId w:val="11"/>
        </w:numPr>
      </w:pPr>
      <w:r>
        <w:t>Actualizar métricas reales y preparar una exposición breve de proceso, herramientas, resultados y mejoras.</w:t>
      </w:r>
    </w:p>
    <w:p>
      <w:r>
        <w:t>La verificación realizada respalda las funciones incluidas en las suites de pedidos, permisos, administración y caché PWA. La trazabilidad y los criterios definidos establecen una base para ampliar la evaluación sin confundir aprobación de pruebas con cobertura total.</w:t>
      </w:r>
    </w:p>
    <w:p>
      <w:bookmarkStart w:id="109" w:name="sec_10"/>
      <w:pPr>
        <w:pStyle w:val="Heading1"/>
      </w:pPr>
      <w:r>
        <w:t>Conclusiones y seguimiento</w:t>
      </w:r>
      <w:bookmarkEnd w:id="109"/>
    </w:p>
    <w:p>
      <w:r>
        <w:t>La entrega integra requisitos y modelos de calidad de la unidad 1; técnicas, Test Plan y herramientas de la unidad 2; y organización Scrum y prácticas de calidad de la unidad 3. Se dispone de campaña automatizada reproducible y aprobada, backlog publicado y evidencia de tres correcciones. Los roles están confirmados por el usuario.</w:t>
      </w:r>
    </w:p>
    <w:p>
      <w:r>
        <w:t>Los límites de la conclusión son la cobertura parcial de casos amplios, ausencia de medición de ramas/sentencias, instalación física no verificada y ausencia de actas de eventos celebrados. El equipo completará lo siguiente con información real:</w:t>
      </w:r>
    </w:p>
    <w:p>
      <w:pPr>
        <w:pStyle w:val="ListBullet"/>
      </w:pPr>
      <w:r>
        <w:t>Fechas y capacidad de la iteración, estimación y validación de criterios con Product Owner.</w:t>
      </w:r>
    </w:p>
    <w:p>
      <w:pPr>
        <w:pStyle w:val="ListBullet"/>
      </w:pPr>
      <w:r>
        <w:t>Versión revisada/aprobada de TP-UF-01 y comparación con su próxima versión.</w:t>
      </w:r>
    </w:p>
    <w:p>
      <w:pPr>
        <w:pStyle w:val="ListBullet"/>
      </w:pPr>
      <w:r>
        <w:t>Seguimiento del tablero ya publicado y actualización de estados al validar las historias.</w:t>
      </w:r>
    </w:p>
    <w:p>
      <w:pPr>
        <w:pStyle w:val="ListBullet"/>
      </w:pPr>
      <w:r>
        <w:t>Revisión de los XML, JSON y capturas exportados de la campaña aprobada.</w:t>
      </w:r>
    </w:p>
    <w:p>
      <w:pPr>
        <w:pStyle w:val="ListBullet"/>
      </w:pPr>
      <w:r>
        <w:t>Demostración del pipeline aprobado y explicación de los fallos iniciales corregidos.</w:t>
      </w:r>
    </w:p>
    <w:p>
      <w:pPr>
        <w:pStyle w:val="ListBullet"/>
      </w:pPr>
      <w:r>
        <w:t>Auditoría interna revisada y acciones con responsables.</w:t>
      </w:r>
    </w:p>
    <w:p>
      <w:pPr>
        <w:pStyle w:val="ListBullet"/>
      </w:pPr>
      <w:r>
        <w:t>Revisión de aceptación, eventos Scrum y mejoras del siguiente incremento con participantes y fechas efectivas.</w:t>
      </w:r>
    </w:p>
    <w:p>
      <w:bookmarkStart w:id="110" w:name="sec_11"/>
      <w:pPr>
        <w:pStyle w:val="Heading1"/>
        <w:pageBreakBefore/>
      </w:pPr>
      <w:r>
        <w:t>Referencias</w:t>
      </w:r>
      <w:bookmarkEnd w:id="110"/>
    </w:p>
    <w:p>
      <w:r>
        <w:t>[1] Universidad del Valle. Plan SQA web. Actividad grupal Actualización del Test Plan en un entorno ágil. Material docente facilitado para la asignatura.</w:t>
      </w:r>
    </w:p>
    <w:p>
      <w:r>
        <w:t>[2] Universidad del Valle. Software Quality Assurance. Clases I a VIII y dinámica El código que llegó demasiado lejos. Material de la unidad 1.</w:t>
      </w:r>
    </w:p>
    <w:p>
      <w:r>
        <w:t>[3] Universidad del Valle. Software Quality Assurance. Clases IX a XV. Material de herramientas SQA, diseño, técnicas y niveles de pruebas.</w:t>
      </w:r>
    </w:p>
    <w:p>
      <w:r>
        <w:t>[4] Universidad del Valle. Software Quality Assurance. Clases XVI a XVIII. Material sobre desarrollo ágil, controles de calidad y prácticas TDD, BDD, ATDD y DDD.</w:t>
      </w:r>
    </w:p>
    <w:p>
      <w:r>
        <w:t>[5] Schwaber, K. y Sutherland, J. (2020). The Scrum Guide. https://scrumguides.org/scrum-guide.html</w:t>
      </w:r>
    </w:p>
    <w:p>
      <w:r>
        <w:t>[6] UniFood. Código fuente local, documentación técnica y suites de prueba. Commit revisado 1e1a2b3cad87e4ea994f1faf9fa5fd0760cbd1ef. Repositorio configurado https://github.com/ifrancro/UniFood. Consulta técnica 27 de octubre de 2026.</w:t>
      </w:r>
    </w:p>
    <w:p>
      <w:r>
        <w:t>[7] UniFood. Campaña GitHub Actions 40628543184, artefacto evidencias-calidad 12790158653. Reportes y capturas del 27 de octubre de 2026, hora de Bolivia. https://github.com/ifrancro/UniFood/actions/runs/40628543184</w:t>
      </w:r>
    </w:p>
    <w:p>
      <w:r>
        <w:t>Las especificaciones de negocio, el diseño de casos y las prioridades de esta versión requieren validación del equipo. Las referencias [1-4] fundamentan la estructura académica y [6-7] aportan la evidencia técnica examinada.</w:t>
      </w:r>
    </w:p>
    <w:p>
      <w:bookmarkStart w:id="111" w:name="sec_12"/>
      <w:pPr>
        <w:pStyle w:val="Heading1"/>
        <w:pageBreakBefore/>
      </w:pPr>
      <w:r>
        <w:t>Anexos de evidencia</w:t>
      </w:r>
      <w:bookmarkEnd w:id="111"/>
    </w:p>
    <w:p>
      <w:pPr>
        <w:pStyle w:val="Heading2"/>
      </w:pPr>
      <w:r>
        <w:t>Campaña final y seguimiento</w:t>
      </w:r>
    </w:p>
    <w:p>
      <w:r>
        <w:t>Fecha: 27 de octubre de 2026, hora de Bolivia. GitHub Actions, Ubuntu y Chrome. El servidor utilizó SQLite exclusivo para E2E. La base de la demostración se conservó. Código verificado: 14774aa01fc7d735df3a5dc9e6b65cdff87d1f32.</w:t>
      </w:r>
    </w:p>
    <w:p>
      <w:r>
        <w:t>Ejecución aprobada: https://github.com/ifrancro/UniFood/actions/runs/40628543184. Artefacto evidencias-calidad, identificador 12790158653. Se conservaron reportes XML JUnit, resultado JSON de Selenium y capturas de ambas herramientas.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2160"/>
        <w:gridCol w:w="1584"/>
        <w:gridCol w:w="5894"/>
      </w:tblGrid>
      <w:tr>
        <w:trPr>
          <w:cantSplit/>
          <w:tblHeader/>
        </w:trPr>
        <w:tc>
          <w:tcPr>
            <w:tcW w:type="dxa" w:w="2160"/>
            <w:vAlign w:val="center"/>
            <w:shd w:fill="303841"/>
          </w:tcPr>
          <w:p>
            <w:pPr>
              <w:keepNext/>
              <w:spacing w:after="40" w:before="20" w:line="254" w:lineRule="auto"/>
              <w:jc w:val="center"/>
            </w:pPr>
            <w:r>
              <w:rPr>
                <w:rFonts w:ascii="Arial" w:hAnsi="Arial"/>
                <w:b/>
                <w:color w:val="FFFFFF"/>
                <w:sz w:val="18"/>
              </w:rPr>
              <w:t>Herramienta</w:t>
            </w:r>
          </w:p>
        </w:tc>
        <w:tc>
          <w:tcPr>
            <w:tcW w:type="dxa" w:w="1584"/>
            <w:vAlign w:val="center"/>
            <w:shd w:fill="303841"/>
          </w:tcPr>
          <w:p>
            <w:pPr>
              <w:keepNext/>
              <w:spacing w:after="40" w:before="20" w:line="254" w:lineRule="auto"/>
            </w:pPr>
            <w:r>
              <w:rPr>
                <w:rFonts w:ascii="Arial" w:hAnsi="Arial"/>
                <w:b/>
                <w:color w:val="FFFFFF"/>
                <w:sz w:val="18"/>
              </w:rPr>
              <w:t>Resultado</w:t>
            </w:r>
          </w:p>
        </w:tc>
        <w:tc>
          <w:tcPr>
            <w:tcW w:type="dxa" w:w="5894"/>
            <w:vAlign w:val="center"/>
            <w:shd w:fill="303841"/>
          </w:tcPr>
          <w:p>
            <w:pPr>
              <w:keepNext/>
              <w:spacing w:after="40" w:before="20" w:line="254" w:lineRule="auto"/>
            </w:pPr>
            <w:r>
              <w:rPr>
                <w:rFonts w:ascii="Arial" w:hAnsi="Arial"/>
                <w:b/>
                <w:color w:val="FFFFFF"/>
                <w:sz w:val="18"/>
              </w:rPr>
              <w:t>Evidencia</w:t>
            </w:r>
          </w:p>
        </w:tc>
      </w:tr>
      <w:tr>
        <w:trPr>
          <w:cantSplit/>
        </w:trPr>
        <w:tc>
          <w:tcPr>
            <w:tcW w:type="dxa" w:w="2160"/>
            <w:vAlign w:val="center"/>
            <w:shd w:fill="FFFFFF"/>
          </w:tcPr>
          <w:p>
            <w:pPr>
              <w:spacing w:after="40" w:before="20" w:line="254" w:lineRule="auto"/>
              <w:jc w:val="center"/>
            </w:pPr>
            <w:r>
              <w:rPr>
                <w:rFonts w:ascii="Arial" w:hAnsi="Arial"/>
                <w:sz w:val="18"/>
              </w:rPr>
              <w:t>Cypress 16.2.0</w:t>
            </w:r>
          </w:p>
        </w:tc>
        <w:tc>
          <w:tcPr>
            <w:tcW w:type="dxa" w:w="1584"/>
            <w:vAlign w:val="center"/>
            <w:shd w:fill="FFFFFF"/>
          </w:tcPr>
          <w:p>
            <w:pPr>
              <w:spacing w:after="40" w:before="20" w:line="254" w:lineRule="auto"/>
            </w:pPr>
            <w:r>
              <w:rPr>
                <w:rFonts w:ascii="Arial" w:hAnsi="Arial"/>
                <w:sz w:val="18"/>
              </w:rPr>
              <w:t>7 de 7 aprobados</w:t>
            </w:r>
          </w:p>
        </w:tc>
        <w:tc>
          <w:tcPr>
            <w:tcW w:type="dxa" w:w="5894"/>
            <w:vAlign w:val="center"/>
            <w:shd w:fill="FFFFFF"/>
          </w:tcPr>
          <w:p>
            <w:pPr>
              <w:spacing w:after="40" w:before="20" w:line="254" w:lineRule="auto"/>
            </w:pPr>
            <w:r>
              <w:rPr>
                <w:rFonts w:ascii="Arial" w:hAnsi="Arial"/>
                <w:sz w:val="18"/>
              </w:rPr>
              <w:t>XML JUnit y capturas de administración y catálogo móvil.</w:t>
            </w:r>
          </w:p>
        </w:tc>
      </w:tr>
      <w:tr>
        <w:trPr>
          <w:cantSplit/>
        </w:trPr>
        <w:tc>
          <w:tcPr>
            <w:tcW w:type="dxa" w:w="2160"/>
            <w:vAlign w:val="center"/>
            <w:shd w:fill="F2F4F6"/>
          </w:tcPr>
          <w:p>
            <w:pPr>
              <w:spacing w:after="40" w:before="20" w:line="254" w:lineRule="auto"/>
              <w:jc w:val="center"/>
            </w:pPr>
            <w:r>
              <w:rPr>
                <w:rFonts w:ascii="Arial" w:hAnsi="Arial"/>
                <w:sz w:val="18"/>
              </w:rPr>
              <w:t>Selenium 4.51.0</w:t>
            </w:r>
          </w:p>
        </w:tc>
        <w:tc>
          <w:tcPr>
            <w:tcW w:type="dxa" w:w="1584"/>
            <w:vAlign w:val="center"/>
            <w:shd w:fill="F2F4F6"/>
          </w:tcPr>
          <w:p>
            <w:pPr>
              <w:spacing w:after="40" w:before="20" w:line="254" w:lineRule="auto"/>
            </w:pPr>
            <w:r>
              <w:rPr>
                <w:rFonts w:ascii="Arial" w:hAnsi="Arial"/>
                <w:sz w:val="18"/>
              </w:rPr>
              <w:t>4 de 4 aprobados</w:t>
            </w:r>
          </w:p>
        </w:tc>
        <w:tc>
          <w:tcPr>
            <w:tcW w:type="dxa" w:w="5894"/>
            <w:vAlign w:val="center"/>
            <w:shd w:fill="F2F4F6"/>
          </w:tcPr>
          <w:p>
            <w:pPr>
              <w:spacing w:after="40" w:before="20" w:line="254" w:lineRule="auto"/>
            </w:pPr>
            <w:r>
              <w:rPr>
                <w:rFonts w:ascii="Arial" w:hAnsi="Arial"/>
                <w:sz w:val="18"/>
              </w:rPr>
              <w:t>JSON y capturas de confirmación y catálogo móvil.</w:t>
            </w:r>
          </w:p>
        </w:tc>
      </w:tr>
      <w:tr>
        <w:trPr>
          <w:cantSplit/>
        </w:trPr>
        <w:tc>
          <w:tcPr>
            <w:tcW w:type="dxa" w:w="2160"/>
            <w:vAlign w:val="center"/>
            <w:shd w:fill="FFFFFF"/>
          </w:tcPr>
          <w:p>
            <w:pPr>
              <w:spacing w:after="40" w:before="20" w:line="254" w:lineRule="auto"/>
              <w:jc w:val="center"/>
            </w:pPr>
            <w:r>
              <w:rPr>
                <w:rFonts w:ascii="Arial" w:hAnsi="Arial"/>
                <w:sz w:val="18"/>
              </w:rPr>
              <w:t>GitHub Actions</w:t>
            </w:r>
          </w:p>
        </w:tc>
        <w:tc>
          <w:tcPr>
            <w:tcW w:type="dxa" w:w="1584"/>
            <w:vAlign w:val="center"/>
            <w:shd w:fill="FFFFFF"/>
          </w:tcPr>
          <w:p>
            <w:pPr>
              <w:spacing w:after="40" w:before="20" w:line="254" w:lineRule="auto"/>
            </w:pPr>
            <w:r>
              <w:rPr>
                <w:rFonts w:ascii="Arial" w:hAnsi="Arial"/>
                <w:sz w:val="18"/>
              </w:rPr>
              <w:t>Todos los pasos aprobados</w:t>
            </w:r>
          </w:p>
        </w:tc>
        <w:tc>
          <w:tcPr>
            <w:tcW w:type="dxa" w:w="5894"/>
            <w:vAlign w:val="center"/>
            <w:shd w:fill="FFFFFF"/>
          </w:tcPr>
          <w:p>
            <w:pPr>
              <w:spacing w:after="40" w:before="20" w:line="254" w:lineRule="auto"/>
            </w:pPr>
            <w:r>
              <w:rPr>
                <w:rFonts w:ascii="Arial" w:hAnsi="Arial"/>
                <w:sz w:val="18"/>
              </w:rPr>
              <w:t>Ejecución 40628543184 sobre 14774aa01fc7.</w:t>
            </w:r>
          </w:p>
        </w:tc>
      </w:tr>
    </w:tbl>
    <w:p>
      <w:pPr>
        <w:spacing w:after="80" w:line="40" w:lineRule="exact"/>
      </w:pPr>
      <w:r>
        <w:rPr>
          <w:sz w:val="4"/>
        </w:rPr>
      </w:r>
    </w:p>
    <w:p>
      <w:r>
        <w:t>Tablero público: https://github.com/users/kat506/projects/1. Las diez historias están vinculadas a los issues 2 a 11 del repositorio, con criterios de aceptación y casos. El PR 1 reúne los cambios y DEF-03 se cerró en el issue 12. Los roles están confirmados; las reuniones y aceptaciones del equipo se registrarán cuando efectivamente ocurran.</w:t>
      </w:r>
    </w:p>
    <w:p>
      <w:pPr>
        <w:pStyle w:val="Heading2"/>
      </w:pPr>
      <w:r>
        <w:t>Verificación automatizada</w:t>
      </w:r>
    </w:p>
    <w:p>
      <w:r>
        <w:t>Verificación local adicional del 27 de octubre de 2026: PHP 8.4.27, PHPUnit 12.5.34 y SQLite en memoria. Se precargó el autoload por una limitación de lectura del entorno; se conservaron las pruebas y sus resultados.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728"/>
        <w:gridCol w:w="2160"/>
        <w:gridCol w:w="5750"/>
      </w:tblGrid>
      <w:tr>
        <w:trPr>
          <w:cantSplit/>
          <w:tblHeader/>
        </w:trPr>
        <w:tc>
          <w:tcPr>
            <w:tcW w:type="dxa" w:w="1728"/>
            <w:vAlign w:val="center"/>
            <w:shd w:fill="303841"/>
          </w:tcPr>
          <w:p>
            <w:pPr>
              <w:keepNext/>
              <w:spacing w:after="40" w:before="20" w:line="254" w:lineRule="auto"/>
              <w:jc w:val="center"/>
            </w:pPr>
            <w:r>
              <w:rPr>
                <w:rFonts w:ascii="Arial" w:hAnsi="Arial"/>
                <w:b/>
                <w:color w:val="FFFFFF"/>
                <w:sz w:val="18"/>
              </w:rPr>
              <w:t>Suite</w:t>
            </w:r>
          </w:p>
        </w:tc>
        <w:tc>
          <w:tcPr>
            <w:tcW w:type="dxa" w:w="2160"/>
            <w:vAlign w:val="center"/>
            <w:shd w:fill="303841"/>
          </w:tcPr>
          <w:p>
            <w:pPr>
              <w:keepNext/>
              <w:spacing w:after="40" w:before="20" w:line="254" w:lineRule="auto"/>
            </w:pPr>
            <w:r>
              <w:rPr>
                <w:rFonts w:ascii="Arial" w:hAnsi="Arial"/>
                <w:b/>
                <w:color w:val="FFFFFF"/>
                <w:sz w:val="18"/>
              </w:rPr>
              <w:t>Resultado</w:t>
            </w:r>
          </w:p>
        </w:tc>
        <w:tc>
          <w:tcPr>
            <w:tcW w:type="dxa" w:w="5750"/>
            <w:vAlign w:val="center"/>
            <w:shd w:fill="303841"/>
          </w:tcPr>
          <w:p>
            <w:pPr>
              <w:keepNext/>
              <w:spacing w:after="40" w:before="20" w:line="254" w:lineRule="auto"/>
            </w:pPr>
            <w:r>
              <w:rPr>
                <w:rFonts w:ascii="Arial" w:hAnsi="Arial"/>
                <w:b/>
                <w:color w:val="FFFFFF"/>
                <w:sz w:val="18"/>
              </w:rPr>
              <w:t>Alcance de la conclusión</w:t>
            </w:r>
          </w:p>
        </w:tc>
      </w:tr>
      <w:tr>
        <w:trPr>
          <w:cantSplit/>
        </w:trPr>
        <w:tc>
          <w:tcPr>
            <w:tcW w:type="dxa" w:w="1728"/>
            <w:vAlign w:val="center"/>
            <w:shd w:fill="FFFFFF"/>
          </w:tcPr>
          <w:p>
            <w:pPr>
              <w:spacing w:after="40" w:before="20" w:line="254" w:lineRule="auto"/>
              <w:jc w:val="center"/>
            </w:pPr>
            <w:r>
              <w:rPr>
                <w:rFonts w:ascii="Arial" w:hAnsi="Arial"/>
                <w:sz w:val="18"/>
              </w:rPr>
              <w:t>PHPUnit</w:t>
            </w:r>
          </w:p>
        </w:tc>
        <w:tc>
          <w:tcPr>
            <w:tcW w:type="dxa" w:w="2160"/>
            <w:vAlign w:val="center"/>
            <w:shd w:fill="FFFFFF"/>
          </w:tcPr>
          <w:p>
            <w:pPr>
              <w:spacing w:after="40" w:before="20" w:line="254" w:lineRule="auto"/>
            </w:pPr>
            <w:r>
              <w:rPr>
                <w:rFonts w:ascii="Arial" w:hAnsi="Arial"/>
                <w:sz w:val="18"/>
              </w:rPr>
              <w:t>14 de 14 aprobadas</w:t>
              <w:br/>
              <w:t>110 aserciones</w:t>
            </w:r>
          </w:p>
        </w:tc>
        <w:tc>
          <w:tcPr>
            <w:tcW w:type="dxa" w:w="5750"/>
            <w:vAlign w:val="center"/>
            <w:shd w:fill="FFFFFF"/>
          </w:tcPr>
          <w:p>
            <w:pPr>
              <w:spacing w:after="40" w:before="20" w:line="254" w:lineRule="auto"/>
            </w:pPr>
            <w:r>
              <w:rPr>
                <w:rFonts w:ascii="Arial" w:hAnsi="Arial"/>
                <w:sz w:val="18"/>
              </w:rPr>
              <w:t>Comprueba los comportamientos definidos en las pruebas PHP existentes, incluidas las regresiones del administrador.</w:t>
            </w:r>
          </w:p>
        </w:tc>
      </w:tr>
      <w:tr>
        <w:trPr>
          <w:cantSplit/>
        </w:trPr>
        <w:tc>
          <w:tcPr>
            <w:tcW w:type="dxa" w:w="1728"/>
            <w:vAlign w:val="center"/>
            <w:shd w:fill="F2F4F6"/>
          </w:tcPr>
          <w:p>
            <w:pPr>
              <w:spacing w:after="40" w:before="20" w:line="254" w:lineRule="auto"/>
              <w:jc w:val="center"/>
            </w:pPr>
            <w:r>
              <w:rPr>
                <w:rFonts w:ascii="Arial" w:hAnsi="Arial"/>
                <w:sz w:val="18"/>
              </w:rPr>
              <w:t>Service worker</w:t>
            </w:r>
          </w:p>
        </w:tc>
        <w:tc>
          <w:tcPr>
            <w:tcW w:type="dxa" w:w="2160"/>
            <w:vAlign w:val="center"/>
            <w:shd w:fill="F2F4F6"/>
          </w:tcPr>
          <w:p>
            <w:pPr>
              <w:spacing w:after="40" w:before="20" w:line="254" w:lineRule="auto"/>
            </w:pPr>
            <w:r>
              <w:rPr>
                <w:rFonts w:ascii="Arial" w:hAnsi="Arial"/>
                <w:sz w:val="18"/>
              </w:rPr>
              <w:t>6 de 6 aprobadas</w:t>
            </w:r>
          </w:p>
        </w:tc>
        <w:tc>
          <w:tcPr>
            <w:tcW w:type="dxa" w:w="5750"/>
            <w:vAlign w:val="center"/>
            <w:shd w:fill="F2F4F6"/>
          </w:tcPr>
          <w:p>
            <w:pPr>
              <w:spacing w:after="40" w:before="20" w:line="254" w:lineRule="auto"/>
            </w:pPr>
            <w:r>
              <w:rPr>
                <w:rFonts w:ascii="Arial" w:hAnsi="Arial"/>
                <w:sz w:val="18"/>
              </w:rPr>
              <w:t>Comprueba navegación y aislamiento del caché en un entorno simulado; no acredita instalación en un teléfono.</w:t>
            </w:r>
          </w:p>
        </w:tc>
      </w:tr>
    </w:tbl>
    <w:p>
      <w:pPr>
        <w:spacing w:after="80" w:line="40" w:lineRule="exact"/>
      </w:pPr>
      <w:r>
        <w:rPr>
          <w:sz w:val="4"/>
        </w:rPr>
      </w:r>
    </w:p>
    <w:p>
      <w:pPr>
        <w:pStyle w:val="Heading3"/>
      </w:pPr>
      <w:r>
        <w:t>Extracto de PHPUnit</w:t>
      </w:r>
    </w:p>
    <w:p>
      <w:pPr>
        <w:keepLines/>
      </w:pPr>
      <w:r>
        <w:rPr>
          <w:rFonts w:ascii="Consolas" w:hAnsi="Consolas"/>
          <w:sz w:val="18"/>
        </w:rPr>
        <w:t>PHPUnit 12.5.34 by Sebastian Bergmann and contributors.</w:t>
        <w:br/>
        <w:t>Runtime:       PHP 8.4.27</w:t>
        <w:br/>
        <w:t>..............                                                    14 / 14 (100%)</w:t>
        <w:br/>
        <w:t>Time: 01:21.213, Memory: 50.00 MB</w:t>
        <w:br/>
        <w:t>OK (14 tests, 110 assertions)</w:t>
      </w:r>
    </w:p>
    <w:p>
      <w:pPr>
        <w:pStyle w:val="Heading3"/>
      </w:pPr>
      <w:r>
        <w:t>Extracto de las pruebas PWA</w:t>
      </w:r>
    </w:p>
    <w:p>
      <w:pPr>
        <w:keepLines/>
      </w:pPr>
      <w:r>
        <w:rPr>
          <w:rFonts w:ascii="Consolas" w:hAnsi="Consolas"/>
          <w:sz w:val="18"/>
        </w:rPr>
        <w:t># tests 6</w:t>
        <w:br/>
        <w:t># pass 6</w:t>
        <w:br/>
        <w:t># fail 0</w:t>
      </w:r>
    </w:p>
    <w:p>
      <w:r>
        <w:t>Las suites ejecutadas aprobaron todos sus casos. No se midió cobertura completa de sentencias, ramas ni requisitos.</w:t>
      </w:r>
    </w:p>
    <w:p>
      <w:pPr>
        <w:pStyle w:val="Heading2"/>
        <w:pageBreakBefore/>
      </w:pPr>
      <w:r>
        <w:t>Confirmación integrada en UniFood</w:t>
      </w:r>
    </w:p>
    <w:p>
      <w:pPr>
        <w:keepNext/>
        <w:jc w:val="center"/>
      </w:pPr>
      <w:r>
        <w:drawing>
          <wp:inline xmlns:a="http://schemas.openxmlformats.org/drawingml/2006/main" xmlns:pic="http://schemas.openxmlformats.org/drawingml/2006/picture">
            <wp:extent cx="6120000" cy="3619406"/>
            <wp:docPr id="2" name="Picture 2" descr="Confirmación integrada en UniFood"/>
            <wp:cNvGraphicFramePr>
              <a:graphicFrameLocks noChangeAspect="1"/>
            </wp:cNvGraphicFramePr>
            <a:graphic>
              <a:graphicData uri="http://schemas.openxmlformats.org/drawingml/2006/picture">
                <pic:pic>
                  <pic:nvPicPr>
                    <pic:cNvPr id="0" name="selenium-confirmacion.png"/>
                    <pic:cNvPicPr/>
                  </pic:nvPicPr>
                  <pic:blipFill>
                    <a:blip r:embed="rId12"/>
                    <a:stretch>
                      <a:fillRect/>
                    </a:stretch>
                  </pic:blipFill>
                  <pic:spPr>
                    <a:xfrm>
                      <a:off x="0" y="0"/>
                      <a:ext cx="6120000" cy="3619406"/>
                    </a:xfrm>
                    <a:prstGeom prst="rect"/>
                  </pic:spPr>
                </pic:pic>
              </a:graphicData>
            </a:graphic>
          </wp:inline>
        </w:drawing>
      </w:r>
    </w:p>
    <w:p>
      <w:pPr>
        <w:pStyle w:val="Caption"/>
      </w:pPr>
      <w:r>
        <w:t>Figura 1. Confirmación propia de UniFood capturada durante Selenium en CI. La prueba abre el diálogo, captura el estado y verifica que Volver lo cierra. Las correcciones de las casillas se verifican mediante PHPUnit; este caso no acredita por sí mismo confirmar la desactivación.</w:t>
      </w:r>
    </w:p>
    <w:p>
      <w:r>
        <w:t>Fuente: artefacto de la campaña automatizada de UniFood [7].</w:t>
      </w:r>
    </w:p>
    <w:p>
      <w:pPr>
        <w:pStyle w:val="Heading2"/>
        <w:pageBreakBefore/>
      </w:pPr>
      <w:r>
        <w:t>Catálogo en vista móvil</w:t>
      </w:r>
    </w:p>
    <w:p>
      <w:pPr>
        <w:keepNext/>
        <w:jc w:val="center"/>
      </w:pPr>
      <w:r>
        <w:drawing>
          <wp:inline xmlns:a="http://schemas.openxmlformats.org/drawingml/2006/main" xmlns:pic="http://schemas.openxmlformats.org/drawingml/2006/picture">
            <wp:extent cx="3561072" cy="6400799"/>
            <wp:docPr id="3" name="Picture 3" descr="Catálogo en vista móvil"/>
            <wp:cNvGraphicFramePr>
              <a:graphicFrameLocks noChangeAspect="1"/>
            </wp:cNvGraphicFramePr>
            <a:graphic>
              <a:graphicData uri="http://schemas.openxmlformats.org/drawingml/2006/picture">
                <pic:pic>
                  <pic:nvPicPr>
                    <pic:cNvPr id="0" name="selenium-movil.png"/>
                    <pic:cNvPicPr/>
                  </pic:nvPicPr>
                  <pic:blipFill>
                    <a:blip r:embed="rId13"/>
                    <a:stretch>
                      <a:fillRect/>
                    </a:stretch>
                  </pic:blipFill>
                  <pic:spPr>
                    <a:xfrm>
                      <a:off x="0" y="0"/>
                      <a:ext cx="3561072" cy="6400799"/>
                    </a:xfrm>
                    <a:prstGeom prst="rect"/>
                  </pic:spPr>
                </pic:pic>
              </a:graphicData>
            </a:graphic>
          </wp:inline>
        </w:drawing>
      </w:r>
    </w:p>
    <w:p>
      <w:pPr>
        <w:pStyle w:val="Caption"/>
      </w:pPr>
      <w:r>
        <w:t>Figura 2. Catálogo en una ventana de Chrome configurada a 390 por 844 píxeles mediante Selenium. Campaña CI aprobada del código 14774aa01fc7. Acredita la vista móvil comprobada; no equivale a instalar la PWA en un teléfono físico.</w:t>
      </w:r>
    </w:p>
    <w:p>
      <w:r>
        <w:t>Fuente: artefacto de la campaña automatizada de UniFood [7].</w:t>
      </w:r>
    </w:p>
    <w:p>
      <w:pPr>
        <w:pStyle w:val="Heading2"/>
        <w:pageBreakBefore/>
      </w:pPr>
      <w:r>
        <w:t>Ficha de ejecución de pruebas</w:t>
      </w:r>
    </w:p>
    <w:p>
      <w:r>
        <w:t>La siguiente campaña debe relacionar cada resultado con el caso de prueba y el código presentado. El siguiente formato se utilizará al ejecutar los casos; los campos se completarán con datos reales.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944"/>
        <w:gridCol w:w="7694"/>
      </w:tblGrid>
      <w:tr>
        <w:trPr>
          <w:cantSplit/>
          <w:tblHeader/>
        </w:trPr>
        <w:tc>
          <w:tcPr>
            <w:tcW w:type="dxa" w:w="1944"/>
            <w:vAlign w:val="center"/>
            <w:shd w:fill="303841"/>
          </w:tcPr>
          <w:p>
            <w:pPr>
              <w:keepNext/>
              <w:spacing w:after="40" w:before="20" w:line="254" w:lineRule="auto"/>
              <w:jc w:val="center"/>
            </w:pPr>
            <w:r>
              <w:rPr>
                <w:rFonts w:ascii="Arial" w:hAnsi="Arial"/>
                <w:b/>
                <w:color w:val="FFFFFF"/>
                <w:sz w:val="18"/>
              </w:rPr>
              <w:t>Campo</w:t>
            </w:r>
          </w:p>
        </w:tc>
        <w:tc>
          <w:tcPr>
            <w:tcW w:type="dxa" w:w="7694"/>
            <w:vAlign w:val="center"/>
            <w:shd w:fill="303841"/>
          </w:tcPr>
          <w:p>
            <w:pPr>
              <w:keepNext/>
              <w:spacing w:after="40" w:before="20" w:line="254" w:lineRule="auto"/>
            </w:pPr>
            <w:r>
              <w:rPr>
                <w:rFonts w:ascii="Arial" w:hAnsi="Arial"/>
                <w:b/>
                <w:color w:val="FFFFFF"/>
                <w:sz w:val="18"/>
              </w:rPr>
              <w:t>Dato a registrar</w:t>
            </w:r>
          </w:p>
        </w:tc>
      </w:tr>
      <w:tr>
        <w:trPr>
          <w:cantSplit/>
        </w:trPr>
        <w:tc>
          <w:tcPr>
            <w:tcW w:type="dxa" w:w="1944"/>
            <w:vAlign w:val="center"/>
            <w:shd w:fill="FFFFFF"/>
          </w:tcPr>
          <w:p>
            <w:pPr>
              <w:spacing w:after="40" w:before="20" w:line="254" w:lineRule="auto"/>
              <w:jc w:val="center"/>
            </w:pPr>
            <w:r>
              <w:rPr>
                <w:rFonts w:ascii="Arial" w:hAnsi="Arial"/>
                <w:sz w:val="18"/>
              </w:rPr>
              <w:t>Identificación</w:t>
            </w:r>
          </w:p>
        </w:tc>
        <w:tc>
          <w:tcPr>
            <w:tcW w:type="dxa" w:w="7694"/>
            <w:vAlign w:val="center"/>
            <w:shd w:fill="FFFFFF"/>
          </w:tcPr>
          <w:p>
            <w:pPr>
              <w:spacing w:after="40" w:before="20" w:line="254" w:lineRule="auto"/>
            </w:pPr>
            <w:r>
              <w:rPr>
                <w:rFonts w:ascii="Arial" w:hAnsi="Arial"/>
                <w:sz w:val="18"/>
              </w:rPr>
              <w:t>Caso CP y requisito RF o historia HU asociados.</w:t>
            </w:r>
          </w:p>
        </w:tc>
      </w:tr>
      <w:tr>
        <w:trPr>
          <w:cantSplit/>
        </w:trPr>
        <w:tc>
          <w:tcPr>
            <w:tcW w:type="dxa" w:w="1944"/>
            <w:vAlign w:val="center"/>
            <w:shd w:fill="F2F4F6"/>
          </w:tcPr>
          <w:p>
            <w:pPr>
              <w:spacing w:after="40" w:before="20" w:line="254" w:lineRule="auto"/>
              <w:jc w:val="center"/>
            </w:pPr>
            <w:r>
              <w:rPr>
                <w:rFonts w:ascii="Arial" w:hAnsi="Arial"/>
                <w:sz w:val="18"/>
              </w:rPr>
              <w:t>Versión</w:t>
            </w:r>
          </w:p>
        </w:tc>
        <w:tc>
          <w:tcPr>
            <w:tcW w:type="dxa" w:w="7694"/>
            <w:vAlign w:val="center"/>
            <w:shd w:fill="F2F4F6"/>
          </w:tcPr>
          <w:p>
            <w:pPr>
              <w:spacing w:after="40" w:before="20" w:line="254" w:lineRule="auto"/>
            </w:pPr>
            <w:r>
              <w:rPr>
                <w:rFonts w:ascii="Arial" w:hAnsi="Arial"/>
                <w:sz w:val="18"/>
              </w:rPr>
              <w:t>Commit y fecha de la ejecución.</w:t>
            </w:r>
          </w:p>
        </w:tc>
      </w:tr>
      <w:tr>
        <w:trPr>
          <w:cantSplit/>
        </w:trPr>
        <w:tc>
          <w:tcPr>
            <w:tcW w:type="dxa" w:w="1944"/>
            <w:vAlign w:val="center"/>
            <w:shd w:fill="FFFFFF"/>
          </w:tcPr>
          <w:p>
            <w:pPr>
              <w:spacing w:after="40" w:before="20" w:line="254" w:lineRule="auto"/>
              <w:jc w:val="center"/>
            </w:pPr>
            <w:r>
              <w:rPr>
                <w:rFonts w:ascii="Arial" w:hAnsi="Arial"/>
                <w:sz w:val="18"/>
              </w:rPr>
              <w:t>Entorno</w:t>
            </w:r>
          </w:p>
        </w:tc>
        <w:tc>
          <w:tcPr>
            <w:tcW w:type="dxa" w:w="7694"/>
            <w:vAlign w:val="center"/>
            <w:shd w:fill="FFFFFF"/>
          </w:tcPr>
          <w:p>
            <w:pPr>
              <w:spacing w:after="40" w:before="20" w:line="254" w:lineRule="auto"/>
            </w:pPr>
            <w:r>
              <w:rPr>
                <w:rFonts w:ascii="Arial" w:hAnsi="Arial"/>
                <w:sz w:val="18"/>
              </w:rPr>
              <w:t>PHP, base de prueba, navegador, versión y dispositivo.</w:t>
            </w:r>
          </w:p>
        </w:tc>
      </w:tr>
      <w:tr>
        <w:trPr>
          <w:cantSplit/>
        </w:trPr>
        <w:tc>
          <w:tcPr>
            <w:tcW w:type="dxa" w:w="1944"/>
            <w:vAlign w:val="center"/>
            <w:shd w:fill="F2F4F6"/>
          </w:tcPr>
          <w:p>
            <w:pPr>
              <w:spacing w:after="40" w:before="20" w:line="254" w:lineRule="auto"/>
              <w:jc w:val="center"/>
            </w:pPr>
            <w:r>
              <w:rPr>
                <w:rFonts w:ascii="Arial" w:hAnsi="Arial"/>
                <w:sz w:val="18"/>
              </w:rPr>
              <w:t>Responsable</w:t>
            </w:r>
          </w:p>
        </w:tc>
        <w:tc>
          <w:tcPr>
            <w:tcW w:type="dxa" w:w="7694"/>
            <w:vAlign w:val="center"/>
            <w:shd w:fill="F2F4F6"/>
          </w:tcPr>
          <w:p>
            <w:pPr>
              <w:spacing w:after="40" w:before="20" w:line="254" w:lineRule="auto"/>
            </w:pPr>
            <w:r>
              <w:rPr>
                <w:rFonts w:ascii="Arial" w:hAnsi="Arial"/>
                <w:sz w:val="18"/>
              </w:rPr>
              <w:t>Integrante que ejecutó el caso y quien revisó el resultado.</w:t>
            </w:r>
          </w:p>
        </w:tc>
      </w:tr>
      <w:tr>
        <w:trPr>
          <w:cantSplit/>
        </w:trPr>
        <w:tc>
          <w:tcPr>
            <w:tcW w:type="dxa" w:w="1944"/>
            <w:vAlign w:val="center"/>
            <w:shd w:fill="FFFFFF"/>
          </w:tcPr>
          <w:p>
            <w:pPr>
              <w:spacing w:after="40" w:before="20" w:line="254" w:lineRule="auto"/>
              <w:jc w:val="center"/>
            </w:pPr>
            <w:r>
              <w:rPr>
                <w:rFonts w:ascii="Arial" w:hAnsi="Arial"/>
                <w:sz w:val="18"/>
              </w:rPr>
              <w:t>Procedimiento</w:t>
            </w:r>
          </w:p>
        </w:tc>
        <w:tc>
          <w:tcPr>
            <w:tcW w:type="dxa" w:w="7694"/>
            <w:vAlign w:val="center"/>
            <w:shd w:fill="FFFFFF"/>
          </w:tcPr>
          <w:p>
            <w:pPr>
              <w:spacing w:after="40" w:before="20" w:line="254" w:lineRule="auto"/>
            </w:pPr>
            <w:r>
              <w:rPr>
                <w:rFonts w:ascii="Arial" w:hAnsi="Arial"/>
                <w:sz w:val="18"/>
              </w:rPr>
              <w:t>Datos utilizados y pasos efectivamente ejecutados.</w:t>
            </w:r>
          </w:p>
        </w:tc>
      </w:tr>
      <w:tr>
        <w:trPr>
          <w:cantSplit/>
        </w:trPr>
        <w:tc>
          <w:tcPr>
            <w:tcW w:type="dxa" w:w="1944"/>
            <w:vAlign w:val="center"/>
            <w:shd w:fill="F2F4F6"/>
          </w:tcPr>
          <w:p>
            <w:pPr>
              <w:spacing w:after="40" w:before="20" w:line="254" w:lineRule="auto"/>
              <w:jc w:val="center"/>
            </w:pPr>
            <w:r>
              <w:rPr>
                <w:rFonts w:ascii="Arial" w:hAnsi="Arial"/>
                <w:sz w:val="18"/>
              </w:rPr>
              <w:t>Resultado</w:t>
            </w:r>
          </w:p>
        </w:tc>
        <w:tc>
          <w:tcPr>
            <w:tcW w:type="dxa" w:w="7694"/>
            <w:vAlign w:val="center"/>
            <w:shd w:fill="F2F4F6"/>
          </w:tcPr>
          <w:p>
            <w:pPr>
              <w:spacing w:after="40" w:before="20" w:line="254" w:lineRule="auto"/>
            </w:pPr>
            <w:r>
              <w:rPr>
                <w:rFonts w:ascii="Arial" w:hAnsi="Arial"/>
                <w:sz w:val="18"/>
              </w:rPr>
              <w:t>Esperado, obtenido y estado aprobado, fallido o bloqueado.</w:t>
            </w:r>
          </w:p>
        </w:tc>
      </w:tr>
      <w:tr>
        <w:trPr>
          <w:cantSplit/>
        </w:trPr>
        <w:tc>
          <w:tcPr>
            <w:tcW w:type="dxa" w:w="1944"/>
            <w:vAlign w:val="center"/>
            <w:shd w:fill="FFFFFF"/>
          </w:tcPr>
          <w:p>
            <w:pPr>
              <w:spacing w:after="40" w:before="20" w:line="254" w:lineRule="auto"/>
              <w:jc w:val="center"/>
            </w:pPr>
            <w:r>
              <w:rPr>
                <w:rFonts w:ascii="Arial" w:hAnsi="Arial"/>
                <w:sz w:val="18"/>
              </w:rPr>
              <w:t>Evidencia</w:t>
            </w:r>
          </w:p>
        </w:tc>
        <w:tc>
          <w:tcPr>
            <w:tcW w:type="dxa" w:w="7694"/>
            <w:vAlign w:val="center"/>
            <w:shd w:fill="FFFFFF"/>
          </w:tcPr>
          <w:p>
            <w:pPr>
              <w:spacing w:after="40" w:before="20" w:line="254" w:lineRule="auto"/>
            </w:pPr>
            <w:r>
              <w:rPr>
                <w:rFonts w:ascii="Arial" w:hAnsi="Arial"/>
                <w:sz w:val="18"/>
              </w:rPr>
              <w:t>Archivo de captura o reporte y defecto relacionado.</w:t>
            </w:r>
          </w:p>
        </w:tc>
      </w:tr>
      <w:tr>
        <w:trPr>
          <w:cantSplit/>
        </w:trPr>
        <w:tc>
          <w:tcPr>
            <w:tcW w:type="dxa" w:w="1944"/>
            <w:vAlign w:val="center"/>
            <w:shd w:fill="F2F4F6"/>
          </w:tcPr>
          <w:p>
            <w:pPr>
              <w:spacing w:after="40" w:before="20" w:line="254" w:lineRule="auto"/>
              <w:jc w:val="center"/>
            </w:pPr>
            <w:r>
              <w:rPr>
                <w:rFonts w:ascii="Arial" w:hAnsi="Arial"/>
                <w:sz w:val="18"/>
              </w:rPr>
              <w:t>Seguimiento</w:t>
            </w:r>
          </w:p>
        </w:tc>
        <w:tc>
          <w:tcPr>
            <w:tcW w:type="dxa" w:w="7694"/>
            <w:vAlign w:val="center"/>
            <w:shd w:fill="F2F4F6"/>
          </w:tcPr>
          <w:p>
            <w:pPr>
              <w:spacing w:after="40" w:before="20" w:line="254" w:lineRule="auto"/>
            </w:pPr>
            <w:r>
              <w:rPr>
                <w:rFonts w:ascii="Arial" w:hAnsi="Arial"/>
                <w:sz w:val="18"/>
              </w:rPr>
              <w:t>Acción correctiva, responsable y verificación de cierre.</w:t>
            </w:r>
          </w:p>
        </w:tc>
      </w:tr>
    </w:tbl>
    <w:p>
      <w:pPr>
        <w:spacing w:after="80" w:line="40" w:lineRule="exact"/>
      </w:pPr>
      <w:r>
        <w:rPr>
          <w:sz w:val="4"/>
        </w:rPr>
      </w:r>
    </w:p>
    <w:p>
      <w:r>
        <w:t>La campaña, el tablero y la corrección de recuperación cuentan con evidencia conservada. La siguiente revisión del equipo debe registrar aceptación, eventos reales y comprobaciones que amplíen la cobertura, incluida instalación en un teléfono. Los campos de este formato se completarán durante esa ejecución, sin atribuir resultados no observados.</w:t>
      </w:r>
    </w:p>
    <w:sectPr w:rsidR="00FC693F" w:rsidRPr="0006063C" w:rsidSect="00034616">
      <w:headerReference w:type="default" r:id="rId9"/>
      <w:footerReference w:type="default" r:id="rId10"/>
      <w:pgSz w:w="11906" w:h="16838"/>
      <w:pgMar w:top="1134" w:right="1134" w:bottom="1020" w:left="1134" w:header="454" w:footer="48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UniFood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000000"/>
        <w:sz w:val="16"/>
      </w:rPr>
      <w:t>UNIFOOD  |  ASEGURAMIENTO DE CALIDAD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widowControl/>
    </w:pPr>
    <w:rPr>
      <w:rFonts w:ascii="Arial" w:hAnsi="Arial" w:eastAsia="Arial"/>
      <w:color w:val="000000"/>
      <w:sz w:val="21"/>
      <w:lang w:val="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eastAsia="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heme="majorHAnsi" w:eastAsiaTheme="majorEastAsia" w:hAnsiTheme="majorHAnsi" w:cstheme="majorBidi" w:ascii="Arial" w:hAnsi="Arial" w:eastAsia="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eastAsia="Arial"/>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widowControl/>
    </w:pPr>
    <w:rPr>
      <w:rFonts w:ascii="Arial" w:hAnsi="Arial" w:eastAsia="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widowControl/>
    </w:pPr>
    <w:rPr>
      <w:rFonts w:ascii="Arial" w:hAnsi="Arial" w:eastAsia="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Arial" w:hAnsi="Arial" w:eastAsia="Arial"/>
      <w:b w:val="0"/>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aseguramiento y pruebas de UniFood</dc:title>
  <dc:subject>Integración de calidad con Scrum en las unidades 1 2 y 3</dc:subject>
  <dc:creator>Ian Romero; Kathleen Barrientos; Sergio Iporre</dc:creator>
  <cp:keywords>UniFood SQA Scrum Test Plan</cp:keywords>
  <dc:description/>
  <cp:lastModifiedBy/>
  <cp:revision>1</cp:revision>
  <dcterms:created xsi:type="dcterms:W3CDTF">2013-12-23T23:15:00Z</dcterms:created>
  <dcterms:modified xsi:type="dcterms:W3CDTF">2013-12-23T23:15:00Z</dcterms:modified>
  <cp:category/>
</cp:coreProperties>
</file>