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65BD9" w14:textId="7D0D3D83" w:rsidR="00EC0A6C" w:rsidRPr="009B2080" w:rsidRDefault="00EC0A6C" w:rsidP="009B2080">
      <w:pPr>
        <w:spacing w:after="0" w:line="240" w:lineRule="auto"/>
        <w:jc w:val="both"/>
        <w:rPr>
          <w:rFonts w:ascii="Times New Roman" w:hAnsi="Times New Roman" w:cs="Times New Roman"/>
          <w:b/>
          <w:color w:val="FF0000"/>
          <w:sz w:val="28"/>
          <w:szCs w:val="28"/>
        </w:rPr>
      </w:pPr>
      <w:r w:rsidRPr="009B2080">
        <w:rPr>
          <w:rFonts w:ascii="Times New Roman" w:hAnsi="Times New Roman" w:cs="Times New Roman"/>
          <w:b/>
          <w:color w:val="FF0000"/>
          <w:sz w:val="28"/>
          <w:szCs w:val="28"/>
        </w:rPr>
        <w:t>International Federation of Red Cross and Red Crescent Societies</w:t>
      </w:r>
    </w:p>
    <w:p w14:paraId="0AA708B2" w14:textId="4AF94C08" w:rsidR="0044211C" w:rsidRPr="009B2080" w:rsidRDefault="00CC4528" w:rsidP="009B2080">
      <w:pPr>
        <w:spacing w:after="0" w:line="240" w:lineRule="auto"/>
        <w:jc w:val="both"/>
        <w:rPr>
          <w:rFonts w:ascii="Times New Roman" w:hAnsi="Times New Roman" w:cs="Times New Roman"/>
          <w:b/>
          <w:color w:val="808080" w:themeColor="background1" w:themeShade="80"/>
          <w:sz w:val="28"/>
          <w:szCs w:val="28"/>
        </w:rPr>
      </w:pPr>
      <w:r w:rsidRPr="009B2080">
        <w:rPr>
          <w:rFonts w:ascii="Times New Roman" w:hAnsi="Times New Roman" w:cs="Times New Roman"/>
          <w:b/>
          <w:color w:val="808080" w:themeColor="background1" w:themeShade="80"/>
          <w:sz w:val="28"/>
          <w:szCs w:val="28"/>
        </w:rPr>
        <w:t xml:space="preserve">AFRICA </w:t>
      </w:r>
      <w:r w:rsidR="00B211EF" w:rsidRPr="009B2080">
        <w:rPr>
          <w:rFonts w:ascii="Times New Roman" w:hAnsi="Times New Roman" w:cs="Times New Roman"/>
          <w:b/>
          <w:color w:val="808080" w:themeColor="background1" w:themeShade="80"/>
          <w:sz w:val="28"/>
          <w:szCs w:val="28"/>
        </w:rPr>
        <w:t>ROAD MAP</w:t>
      </w:r>
      <w:r w:rsidR="00C011EC" w:rsidRPr="009B2080">
        <w:rPr>
          <w:rFonts w:ascii="Times New Roman" w:hAnsi="Times New Roman" w:cs="Times New Roman"/>
          <w:b/>
          <w:color w:val="808080" w:themeColor="background1" w:themeShade="80"/>
          <w:sz w:val="28"/>
          <w:szCs w:val="28"/>
        </w:rPr>
        <w:t xml:space="preserve"> PROGRESS REPORT</w:t>
      </w:r>
    </w:p>
    <w:p w14:paraId="45055CD2" w14:textId="77777777" w:rsidR="00B211EF" w:rsidRPr="009B2080" w:rsidRDefault="00B211EF"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 xml:space="preserve">January to </w:t>
      </w:r>
      <w:r w:rsidR="00EA1782" w:rsidRPr="009B2080">
        <w:rPr>
          <w:rFonts w:ascii="Times New Roman" w:hAnsi="Times New Roman" w:cs="Times New Roman"/>
          <w:b/>
          <w:sz w:val="28"/>
          <w:szCs w:val="28"/>
        </w:rPr>
        <w:t>December</w:t>
      </w:r>
      <w:r w:rsidRPr="009B2080">
        <w:rPr>
          <w:rFonts w:ascii="Times New Roman" w:hAnsi="Times New Roman" w:cs="Times New Roman"/>
          <w:b/>
          <w:sz w:val="28"/>
          <w:szCs w:val="28"/>
        </w:rPr>
        <w:t xml:space="preserve"> 2017</w:t>
      </w:r>
    </w:p>
    <w:p w14:paraId="79C6BB0E" w14:textId="77777777" w:rsidR="006455E5" w:rsidRPr="009B2080" w:rsidRDefault="006455E5" w:rsidP="009B2080">
      <w:pPr>
        <w:spacing w:after="0" w:line="240" w:lineRule="auto"/>
        <w:jc w:val="both"/>
        <w:rPr>
          <w:rFonts w:ascii="Times New Roman" w:hAnsi="Times New Roman" w:cs="Times New Roman"/>
          <w:b/>
          <w:sz w:val="28"/>
          <w:szCs w:val="28"/>
        </w:rPr>
      </w:pPr>
    </w:p>
    <w:p w14:paraId="5802EEF6" w14:textId="77777777" w:rsidR="00816C66" w:rsidRPr="009B2080" w:rsidRDefault="00816C66" w:rsidP="009B2080">
      <w:pPr>
        <w:spacing w:after="0" w:line="240" w:lineRule="auto"/>
        <w:jc w:val="both"/>
        <w:rPr>
          <w:rFonts w:ascii="Times New Roman" w:hAnsi="Times New Roman" w:cs="Times New Roman"/>
          <w:bCs/>
          <w:color w:val="FF0000"/>
          <w:sz w:val="28"/>
          <w:szCs w:val="28"/>
        </w:rPr>
      </w:pPr>
    </w:p>
    <w:p w14:paraId="03963C59" w14:textId="77777777" w:rsidR="00460A92" w:rsidRPr="009B2080" w:rsidRDefault="00460A92" w:rsidP="009B2080">
      <w:pPr>
        <w:pBdr>
          <w:bottom w:val="single" w:sz="4" w:space="0" w:color="auto"/>
        </w:pBdr>
        <w:spacing w:after="0" w:line="240" w:lineRule="auto"/>
        <w:jc w:val="both"/>
        <w:rPr>
          <w:rFonts w:ascii="Times New Roman" w:hAnsi="Times New Roman" w:cs="Times New Roman"/>
          <w:b/>
          <w:bCs/>
          <w:color w:val="FF0000"/>
          <w:sz w:val="28"/>
          <w:szCs w:val="28"/>
        </w:rPr>
      </w:pPr>
      <w:r w:rsidRPr="009B2080">
        <w:rPr>
          <w:rFonts w:ascii="Times New Roman" w:hAnsi="Times New Roman" w:cs="Times New Roman"/>
          <w:b/>
          <w:bCs/>
          <w:sz w:val="28"/>
          <w:szCs w:val="28"/>
        </w:rPr>
        <w:t>INTRODUCTION</w:t>
      </w:r>
    </w:p>
    <w:p w14:paraId="47259082" w14:textId="77777777" w:rsidR="00243360" w:rsidRPr="009B2080" w:rsidRDefault="00460A92" w:rsidP="009B2080">
      <w:pPr>
        <w:pBdr>
          <w:bottom w:val="single" w:sz="4" w:space="0"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Over the last six months, the International Federation of Red Cross and Red Crescent Societies (IFRC) in Africa has continued to pursue the direction and specific milestones </w:t>
      </w:r>
      <w:r w:rsidR="002B220A" w:rsidRPr="009B2080">
        <w:rPr>
          <w:rFonts w:ascii="Times New Roman" w:hAnsi="Times New Roman" w:cs="Times New Roman"/>
          <w:sz w:val="28"/>
          <w:szCs w:val="28"/>
        </w:rPr>
        <w:t>defined</w:t>
      </w:r>
      <w:r w:rsidRPr="009B2080">
        <w:rPr>
          <w:rFonts w:ascii="Times New Roman" w:hAnsi="Times New Roman" w:cs="Times New Roman"/>
          <w:sz w:val="28"/>
          <w:szCs w:val="28"/>
        </w:rPr>
        <w:t xml:space="preserve"> in the “IFRC in Africa, Road Map 2017 – 2020.” </w:t>
      </w:r>
    </w:p>
    <w:p w14:paraId="4CBB5202" w14:textId="77777777" w:rsidR="00243360" w:rsidRPr="009B2080" w:rsidRDefault="00243360" w:rsidP="009B2080">
      <w:pPr>
        <w:pBdr>
          <w:bottom w:val="single" w:sz="4" w:space="0" w:color="auto"/>
        </w:pBdr>
        <w:spacing w:after="0" w:line="240" w:lineRule="auto"/>
        <w:jc w:val="both"/>
        <w:rPr>
          <w:rFonts w:ascii="Times New Roman" w:hAnsi="Times New Roman" w:cs="Times New Roman"/>
          <w:sz w:val="28"/>
          <w:szCs w:val="28"/>
        </w:rPr>
      </w:pPr>
    </w:p>
    <w:p w14:paraId="3595C1CE" w14:textId="5E976E1B" w:rsidR="00460A92" w:rsidRPr="009B2080" w:rsidRDefault="00B826C3" w:rsidP="009B2080">
      <w:pPr>
        <w:pBdr>
          <w:bottom w:val="single" w:sz="4" w:space="0"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Planning and decision making during the current reporting period </w:t>
      </w:r>
      <w:r w:rsidR="00243360" w:rsidRPr="009B2080">
        <w:rPr>
          <w:rFonts w:ascii="Times New Roman" w:hAnsi="Times New Roman" w:cs="Times New Roman"/>
          <w:sz w:val="28"/>
          <w:szCs w:val="28"/>
        </w:rPr>
        <w:t>were</w:t>
      </w:r>
      <w:r w:rsidRPr="009B2080">
        <w:rPr>
          <w:rFonts w:ascii="Times New Roman" w:hAnsi="Times New Roman" w:cs="Times New Roman"/>
          <w:sz w:val="28"/>
          <w:szCs w:val="28"/>
        </w:rPr>
        <w:t xml:space="preserve"> informed by the</w:t>
      </w:r>
      <w:r w:rsidR="00243360" w:rsidRPr="009B2080">
        <w:rPr>
          <w:rFonts w:ascii="Times New Roman" w:hAnsi="Times New Roman" w:cs="Times New Roman"/>
          <w:sz w:val="28"/>
          <w:szCs w:val="28"/>
        </w:rPr>
        <w:t xml:space="preserve"> outcomes of</w:t>
      </w:r>
      <w:r w:rsidRPr="009B2080">
        <w:rPr>
          <w:rFonts w:ascii="Times New Roman" w:hAnsi="Times New Roman" w:cs="Times New Roman"/>
          <w:sz w:val="28"/>
          <w:szCs w:val="28"/>
        </w:rPr>
        <w:t xml:space="preserve"> p</w:t>
      </w:r>
      <w:r w:rsidR="00460A92" w:rsidRPr="009B2080">
        <w:rPr>
          <w:rFonts w:ascii="Times New Roman" w:hAnsi="Times New Roman" w:cs="Times New Roman"/>
          <w:sz w:val="28"/>
          <w:szCs w:val="28"/>
        </w:rPr>
        <w:t>rogress assess</w:t>
      </w:r>
      <w:r w:rsidR="00243360" w:rsidRPr="009B2080">
        <w:rPr>
          <w:rFonts w:ascii="Times New Roman" w:hAnsi="Times New Roman" w:cs="Times New Roman"/>
          <w:sz w:val="28"/>
          <w:szCs w:val="28"/>
        </w:rPr>
        <w:t xml:space="preserve">ment. </w:t>
      </w:r>
      <w:r w:rsidR="00B76748" w:rsidRPr="009B2080">
        <w:rPr>
          <w:rFonts w:ascii="Times New Roman" w:hAnsi="Times New Roman" w:cs="Times New Roman"/>
          <w:sz w:val="28"/>
          <w:szCs w:val="28"/>
        </w:rPr>
        <w:t>Planning was also informed by c</w:t>
      </w:r>
      <w:r w:rsidR="00460A92" w:rsidRPr="009B2080">
        <w:rPr>
          <w:rFonts w:ascii="Times New Roman" w:hAnsi="Times New Roman" w:cs="Times New Roman"/>
          <w:sz w:val="28"/>
          <w:szCs w:val="28"/>
        </w:rPr>
        <w:t>orrective action</w:t>
      </w:r>
      <w:r w:rsidR="00B76748" w:rsidRPr="009B2080">
        <w:rPr>
          <w:rFonts w:ascii="Times New Roman" w:hAnsi="Times New Roman" w:cs="Times New Roman"/>
          <w:sz w:val="28"/>
          <w:szCs w:val="28"/>
        </w:rPr>
        <w:t>s</w:t>
      </w:r>
      <w:r w:rsidR="00460A92" w:rsidRPr="009B2080">
        <w:rPr>
          <w:rFonts w:ascii="Times New Roman" w:hAnsi="Times New Roman" w:cs="Times New Roman"/>
          <w:sz w:val="28"/>
          <w:szCs w:val="28"/>
        </w:rPr>
        <w:t xml:space="preserve"> identified in the first half of 2017, and described in the “Road Map Progress Report, January to June 2017”</w:t>
      </w:r>
      <w:r w:rsidRPr="009B2080">
        <w:rPr>
          <w:rFonts w:ascii="Times New Roman" w:hAnsi="Times New Roman" w:cs="Times New Roman"/>
          <w:sz w:val="28"/>
          <w:szCs w:val="28"/>
        </w:rPr>
        <w:t>.</w:t>
      </w:r>
      <w:r w:rsidR="00460A92" w:rsidRPr="009B2080">
        <w:rPr>
          <w:rFonts w:ascii="Times New Roman" w:hAnsi="Times New Roman" w:cs="Times New Roman"/>
          <w:sz w:val="28"/>
          <w:szCs w:val="28"/>
        </w:rPr>
        <w:t xml:space="preserve"> </w:t>
      </w:r>
    </w:p>
    <w:p w14:paraId="4D38BA67" w14:textId="77777777" w:rsidR="00460A92" w:rsidRPr="009B2080" w:rsidRDefault="00460A92" w:rsidP="009B2080">
      <w:pPr>
        <w:pBdr>
          <w:bottom w:val="single" w:sz="4" w:space="0" w:color="auto"/>
        </w:pBdr>
        <w:spacing w:after="0" w:line="240" w:lineRule="auto"/>
        <w:jc w:val="both"/>
        <w:rPr>
          <w:rFonts w:ascii="Times New Roman" w:hAnsi="Times New Roman" w:cs="Times New Roman"/>
          <w:sz w:val="28"/>
          <w:szCs w:val="28"/>
        </w:rPr>
      </w:pPr>
    </w:p>
    <w:p w14:paraId="71F5F4EA" w14:textId="0C39D8DF" w:rsidR="00B826C3" w:rsidRPr="009B2080" w:rsidRDefault="00460A92" w:rsidP="009B2080">
      <w:pPr>
        <w:pBdr>
          <w:bottom w:val="single" w:sz="4" w:space="0"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Specifically, the last report indicated that good progress had been made against milestones related to health and care</w:t>
      </w:r>
      <w:r w:rsidR="00574D03" w:rsidRPr="009B2080">
        <w:rPr>
          <w:rFonts w:ascii="Times New Roman" w:hAnsi="Times New Roman" w:cs="Times New Roman"/>
          <w:sz w:val="28"/>
          <w:szCs w:val="28"/>
        </w:rPr>
        <w:t>, as well as</w:t>
      </w:r>
      <w:r w:rsidRPr="009B2080">
        <w:rPr>
          <w:rFonts w:ascii="Times New Roman" w:hAnsi="Times New Roman" w:cs="Times New Roman"/>
          <w:sz w:val="28"/>
          <w:szCs w:val="28"/>
        </w:rPr>
        <w:t xml:space="preserve"> </w:t>
      </w:r>
      <w:r w:rsidR="00574D03" w:rsidRPr="009B2080">
        <w:rPr>
          <w:rFonts w:ascii="Times New Roman" w:hAnsi="Times New Roman" w:cs="Times New Roman"/>
          <w:sz w:val="28"/>
          <w:szCs w:val="28"/>
        </w:rPr>
        <w:t xml:space="preserve">in terms of </w:t>
      </w:r>
      <w:r w:rsidRPr="009B2080">
        <w:rPr>
          <w:rFonts w:ascii="Times New Roman" w:hAnsi="Times New Roman" w:cs="Times New Roman"/>
          <w:sz w:val="28"/>
          <w:szCs w:val="28"/>
        </w:rPr>
        <w:t>disaster risk reduction. The elements that had brought success to these areas of focus were reinforced, such as continued collaboration through shared leadership and accountability groups. Diverse stakeholders were also convened to drive partnership and a common understanding around building resilience, fighting cholera and responding to the food crisis. The previous progress report also noted that little progress had been made against milestone</w:t>
      </w:r>
      <w:r w:rsidR="00B826C3" w:rsidRPr="009B2080">
        <w:rPr>
          <w:rFonts w:ascii="Times New Roman" w:hAnsi="Times New Roman" w:cs="Times New Roman"/>
          <w:sz w:val="28"/>
          <w:szCs w:val="28"/>
        </w:rPr>
        <w:t>s</w:t>
      </w:r>
      <w:r w:rsidRPr="009B2080">
        <w:rPr>
          <w:rFonts w:ascii="Times New Roman" w:hAnsi="Times New Roman" w:cs="Times New Roman"/>
          <w:sz w:val="28"/>
          <w:szCs w:val="28"/>
        </w:rPr>
        <w:t xml:space="preserve"> </w:t>
      </w:r>
      <w:r w:rsidR="000D6754" w:rsidRPr="009B2080">
        <w:rPr>
          <w:rFonts w:ascii="Times New Roman" w:hAnsi="Times New Roman" w:cs="Times New Roman"/>
          <w:sz w:val="28"/>
          <w:szCs w:val="28"/>
        </w:rPr>
        <w:t>towards</w:t>
      </w:r>
      <w:r w:rsidRPr="009B2080">
        <w:rPr>
          <w:rFonts w:ascii="Times New Roman" w:hAnsi="Times New Roman" w:cs="Times New Roman"/>
          <w:sz w:val="28"/>
          <w:szCs w:val="28"/>
        </w:rPr>
        <w:t xml:space="preserve"> shelter goals. </w:t>
      </w:r>
    </w:p>
    <w:p w14:paraId="36916A20" w14:textId="77777777" w:rsidR="00B826C3" w:rsidRPr="009B2080" w:rsidRDefault="00B826C3" w:rsidP="009B2080">
      <w:pPr>
        <w:pBdr>
          <w:bottom w:val="single" w:sz="4" w:space="0" w:color="auto"/>
        </w:pBdr>
        <w:spacing w:after="0" w:line="240" w:lineRule="auto"/>
        <w:jc w:val="both"/>
        <w:rPr>
          <w:rFonts w:ascii="Times New Roman" w:hAnsi="Times New Roman" w:cs="Times New Roman"/>
          <w:sz w:val="28"/>
          <w:szCs w:val="28"/>
        </w:rPr>
      </w:pPr>
    </w:p>
    <w:p w14:paraId="79DCDB52" w14:textId="4823177F" w:rsidR="002B220A" w:rsidRPr="009B2080" w:rsidRDefault="00460A92" w:rsidP="009B2080">
      <w:pPr>
        <w:pBdr>
          <w:bottom w:val="single" w:sz="4" w:space="0"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We are pleased to report that in the last month of 2017, the IFRC and Luxembourg Red Cross reached an agreement to dramatically augment the capacity of National Societies to respond to shelter needs. Similarly, progress </w:t>
      </w:r>
      <w:r w:rsidR="000D6754" w:rsidRPr="009B2080">
        <w:rPr>
          <w:rFonts w:ascii="Times New Roman" w:hAnsi="Times New Roman" w:cs="Times New Roman"/>
          <w:sz w:val="28"/>
          <w:szCs w:val="28"/>
        </w:rPr>
        <w:t>towards</w:t>
      </w:r>
      <w:r w:rsidRPr="009B2080">
        <w:rPr>
          <w:rFonts w:ascii="Times New Roman" w:hAnsi="Times New Roman" w:cs="Times New Roman"/>
          <w:sz w:val="28"/>
          <w:szCs w:val="28"/>
        </w:rPr>
        <w:t xml:space="preserve"> Strategies for Implementation around strengthening National Society Development and disaster management were sustained. </w:t>
      </w:r>
    </w:p>
    <w:p w14:paraId="6E297A81" w14:textId="77777777" w:rsidR="00460A92" w:rsidRPr="009B2080" w:rsidRDefault="00460A92" w:rsidP="009B2080">
      <w:pPr>
        <w:pBdr>
          <w:bottom w:val="single" w:sz="4" w:space="0" w:color="auto"/>
        </w:pBdr>
        <w:spacing w:after="0" w:line="240" w:lineRule="auto"/>
        <w:jc w:val="both"/>
        <w:rPr>
          <w:rFonts w:ascii="Times New Roman" w:hAnsi="Times New Roman" w:cs="Times New Roman"/>
          <w:b/>
          <w:bCs/>
          <w:sz w:val="28"/>
          <w:szCs w:val="28"/>
        </w:rPr>
      </w:pPr>
    </w:p>
    <w:p w14:paraId="484D862C" w14:textId="77777777" w:rsidR="005829A4" w:rsidRPr="009B2080" w:rsidRDefault="00B211EF" w:rsidP="009B2080">
      <w:pPr>
        <w:pBdr>
          <w:bottom w:val="single" w:sz="4" w:space="0" w:color="auto"/>
        </w:pBdr>
        <w:spacing w:after="0" w:line="240" w:lineRule="auto"/>
        <w:jc w:val="both"/>
        <w:rPr>
          <w:rFonts w:ascii="Times New Roman" w:hAnsi="Times New Roman" w:cs="Times New Roman"/>
          <w:b/>
          <w:bCs/>
          <w:sz w:val="28"/>
          <w:szCs w:val="28"/>
        </w:rPr>
      </w:pPr>
      <w:r w:rsidRPr="009B2080">
        <w:rPr>
          <w:rFonts w:ascii="Times New Roman" w:hAnsi="Times New Roman" w:cs="Times New Roman"/>
          <w:b/>
          <w:bCs/>
          <w:sz w:val="28"/>
          <w:szCs w:val="28"/>
        </w:rPr>
        <w:t>VALUE PROP</w:t>
      </w:r>
      <w:r w:rsidR="005256C3" w:rsidRPr="009B2080">
        <w:rPr>
          <w:rFonts w:ascii="Times New Roman" w:hAnsi="Times New Roman" w:cs="Times New Roman"/>
          <w:b/>
          <w:bCs/>
          <w:sz w:val="28"/>
          <w:szCs w:val="28"/>
        </w:rPr>
        <w:t>O</w:t>
      </w:r>
      <w:r w:rsidRPr="009B2080">
        <w:rPr>
          <w:rFonts w:ascii="Times New Roman" w:hAnsi="Times New Roman" w:cs="Times New Roman"/>
          <w:b/>
          <w:bCs/>
          <w:sz w:val="28"/>
          <w:szCs w:val="28"/>
        </w:rPr>
        <w:t>STION AND CONTEXT</w:t>
      </w:r>
    </w:p>
    <w:p w14:paraId="6121219F" w14:textId="51B8FA0A" w:rsidR="00EA1782" w:rsidRPr="009B2080" w:rsidRDefault="00460A92" w:rsidP="009B2080">
      <w:pPr>
        <w:pBdr>
          <w:bottom w:val="single" w:sz="4" w:space="0"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In the last progress report, the IFRC acknowledged that </w:t>
      </w:r>
      <w:r w:rsidR="0006453C" w:rsidRPr="009B2080">
        <w:rPr>
          <w:rFonts w:ascii="Times New Roman" w:hAnsi="Times New Roman" w:cs="Times New Roman"/>
          <w:sz w:val="28"/>
          <w:szCs w:val="28"/>
        </w:rPr>
        <w:t xml:space="preserve">our unique value proposition around cross-border programming </w:t>
      </w:r>
      <w:r w:rsidR="002B220A" w:rsidRPr="009B2080">
        <w:rPr>
          <w:rFonts w:ascii="Times New Roman" w:hAnsi="Times New Roman" w:cs="Times New Roman"/>
          <w:sz w:val="28"/>
          <w:szCs w:val="28"/>
        </w:rPr>
        <w:t xml:space="preserve">had not yet been </w:t>
      </w:r>
      <w:r w:rsidR="0006453C" w:rsidRPr="009B2080">
        <w:rPr>
          <w:rFonts w:ascii="Times New Roman" w:hAnsi="Times New Roman" w:cs="Times New Roman"/>
          <w:sz w:val="28"/>
          <w:szCs w:val="28"/>
        </w:rPr>
        <w:t xml:space="preserve">realized. While no new cross-border projects were implemented in the second half of 2017, Movement partners did come together to make consolidated presentations that described a coherent strategy and cross-border </w:t>
      </w:r>
      <w:r w:rsidR="002B220A" w:rsidRPr="009B2080">
        <w:rPr>
          <w:rFonts w:ascii="Times New Roman" w:hAnsi="Times New Roman" w:cs="Times New Roman"/>
          <w:sz w:val="28"/>
          <w:szCs w:val="28"/>
        </w:rPr>
        <w:t>activities</w:t>
      </w:r>
      <w:r w:rsidR="0006453C" w:rsidRPr="009B2080">
        <w:rPr>
          <w:rFonts w:ascii="Times New Roman" w:hAnsi="Times New Roman" w:cs="Times New Roman"/>
          <w:sz w:val="28"/>
          <w:szCs w:val="28"/>
        </w:rPr>
        <w:t xml:space="preserve"> to DEVCO and ECHO</w:t>
      </w:r>
      <w:r w:rsidR="00A47CBA" w:rsidRPr="009B2080">
        <w:rPr>
          <w:rFonts w:ascii="Times New Roman" w:hAnsi="Times New Roman" w:cs="Times New Roman"/>
          <w:sz w:val="28"/>
          <w:szCs w:val="28"/>
        </w:rPr>
        <w:t>,</w:t>
      </w:r>
      <w:r w:rsidR="0006453C" w:rsidRPr="009B2080">
        <w:rPr>
          <w:rFonts w:ascii="Times New Roman" w:hAnsi="Times New Roman" w:cs="Times New Roman"/>
          <w:sz w:val="28"/>
          <w:szCs w:val="28"/>
        </w:rPr>
        <w:t xml:space="preserve"> for West Africa, Lake Chad and Southern Africa. We hope this is a sign of </w:t>
      </w:r>
      <w:r w:rsidR="002B220A" w:rsidRPr="009B2080">
        <w:rPr>
          <w:rFonts w:ascii="Times New Roman" w:hAnsi="Times New Roman" w:cs="Times New Roman"/>
          <w:sz w:val="28"/>
          <w:szCs w:val="28"/>
        </w:rPr>
        <w:t>better things to come, including more coordinated</w:t>
      </w:r>
      <w:r w:rsidR="0006453C" w:rsidRPr="009B2080">
        <w:rPr>
          <w:rFonts w:ascii="Times New Roman" w:hAnsi="Times New Roman" w:cs="Times New Roman"/>
          <w:sz w:val="28"/>
          <w:szCs w:val="28"/>
        </w:rPr>
        <w:t xml:space="preserve"> planning among National Societies and</w:t>
      </w:r>
      <w:r w:rsidR="00B826C3" w:rsidRPr="009B2080">
        <w:rPr>
          <w:rFonts w:ascii="Times New Roman" w:hAnsi="Times New Roman" w:cs="Times New Roman"/>
          <w:sz w:val="28"/>
          <w:szCs w:val="28"/>
        </w:rPr>
        <w:t xml:space="preserve"> with regards to</w:t>
      </w:r>
      <w:r w:rsidR="0006453C" w:rsidRPr="009B2080">
        <w:rPr>
          <w:rFonts w:ascii="Times New Roman" w:hAnsi="Times New Roman" w:cs="Times New Roman"/>
          <w:sz w:val="28"/>
          <w:szCs w:val="28"/>
        </w:rPr>
        <w:t xml:space="preserve"> future funding. </w:t>
      </w:r>
    </w:p>
    <w:p w14:paraId="4F13B038" w14:textId="77777777" w:rsidR="0006453C" w:rsidRPr="009B2080" w:rsidRDefault="0006453C" w:rsidP="009B2080">
      <w:pPr>
        <w:pBdr>
          <w:bottom w:val="single" w:sz="4" w:space="0" w:color="auto"/>
        </w:pBdr>
        <w:spacing w:after="0" w:line="240" w:lineRule="auto"/>
        <w:jc w:val="both"/>
        <w:rPr>
          <w:rFonts w:ascii="Times New Roman" w:hAnsi="Times New Roman" w:cs="Times New Roman"/>
          <w:sz w:val="28"/>
          <w:szCs w:val="28"/>
        </w:rPr>
      </w:pPr>
    </w:p>
    <w:p w14:paraId="415C3DEB" w14:textId="421FE1E0" w:rsidR="0006453C" w:rsidRPr="009B2080" w:rsidRDefault="0006453C" w:rsidP="009B2080">
      <w:pPr>
        <w:pBdr>
          <w:bottom w:val="single" w:sz="4" w:space="0"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Strong Movement coordination continued in the second half of 2017, with agreements for </w:t>
      </w:r>
      <w:r w:rsidR="00A47CBA" w:rsidRPr="009B2080">
        <w:rPr>
          <w:rFonts w:ascii="Times New Roman" w:hAnsi="Times New Roman" w:cs="Times New Roman"/>
          <w:sz w:val="28"/>
          <w:szCs w:val="28"/>
        </w:rPr>
        <w:t>“</w:t>
      </w:r>
      <w:r w:rsidRPr="009B2080">
        <w:rPr>
          <w:rFonts w:ascii="Times New Roman" w:hAnsi="Times New Roman" w:cs="Times New Roman"/>
          <w:sz w:val="28"/>
          <w:szCs w:val="28"/>
        </w:rPr>
        <w:t>One Movement Plan</w:t>
      </w:r>
      <w:r w:rsidR="00A47CBA" w:rsidRPr="009B2080">
        <w:rPr>
          <w:rFonts w:ascii="Times New Roman" w:hAnsi="Times New Roman" w:cs="Times New Roman"/>
          <w:sz w:val="28"/>
          <w:szCs w:val="28"/>
        </w:rPr>
        <w:t>”</w:t>
      </w:r>
      <w:r w:rsidRPr="009B2080">
        <w:rPr>
          <w:rFonts w:ascii="Times New Roman" w:hAnsi="Times New Roman" w:cs="Times New Roman"/>
          <w:sz w:val="28"/>
          <w:szCs w:val="28"/>
        </w:rPr>
        <w:t xml:space="preserve"> in South Sudan and the renewal of shared funding between ICRC and IFRC in </w:t>
      </w:r>
      <w:r w:rsidR="00BC59A4" w:rsidRPr="009B2080">
        <w:rPr>
          <w:rFonts w:ascii="Times New Roman" w:hAnsi="Times New Roman" w:cs="Times New Roman"/>
          <w:sz w:val="28"/>
          <w:szCs w:val="28"/>
        </w:rPr>
        <w:t xml:space="preserve">Nigeria’s </w:t>
      </w:r>
      <w:r w:rsidR="00B826C3" w:rsidRPr="009B2080">
        <w:rPr>
          <w:rFonts w:ascii="Times New Roman" w:hAnsi="Times New Roman" w:cs="Times New Roman"/>
          <w:sz w:val="28"/>
          <w:szCs w:val="28"/>
        </w:rPr>
        <w:t xml:space="preserve">north-east </w:t>
      </w:r>
      <w:r w:rsidR="002B220A" w:rsidRPr="009B2080">
        <w:rPr>
          <w:rFonts w:ascii="Times New Roman" w:hAnsi="Times New Roman" w:cs="Times New Roman"/>
          <w:sz w:val="28"/>
          <w:szCs w:val="28"/>
        </w:rPr>
        <w:t>for 2018.</w:t>
      </w:r>
      <w:r w:rsidRPr="009B2080">
        <w:rPr>
          <w:rFonts w:ascii="Times New Roman" w:hAnsi="Times New Roman" w:cs="Times New Roman"/>
          <w:sz w:val="28"/>
          <w:szCs w:val="28"/>
        </w:rPr>
        <w:t xml:space="preserve"> </w:t>
      </w:r>
    </w:p>
    <w:p w14:paraId="5C2938EC" w14:textId="4D6AF1E5" w:rsidR="00A47CBA" w:rsidRPr="009B2080" w:rsidRDefault="00A47CBA" w:rsidP="009B2080">
      <w:pPr>
        <w:pBdr>
          <w:bottom w:val="single" w:sz="4" w:space="0" w:color="auto"/>
        </w:pBdr>
        <w:spacing w:after="0" w:line="240" w:lineRule="auto"/>
        <w:jc w:val="both"/>
        <w:rPr>
          <w:rFonts w:ascii="Times New Roman" w:hAnsi="Times New Roman" w:cs="Times New Roman"/>
          <w:sz w:val="28"/>
          <w:szCs w:val="28"/>
        </w:rPr>
      </w:pPr>
    </w:p>
    <w:p w14:paraId="1ACEAC32" w14:textId="05B0B104" w:rsidR="00A47CBA" w:rsidRPr="009B2080" w:rsidRDefault="00A47CBA" w:rsidP="009B2080">
      <w:pPr>
        <w:pBdr>
          <w:bottom w:val="single" w:sz="4" w:space="0" w:color="auto"/>
        </w:pBdr>
        <w:spacing w:after="0" w:line="240" w:lineRule="auto"/>
        <w:jc w:val="both"/>
        <w:rPr>
          <w:rFonts w:ascii="Times New Roman" w:hAnsi="Times New Roman" w:cs="Times New Roman"/>
          <w:sz w:val="28"/>
          <w:szCs w:val="28"/>
        </w:rPr>
      </w:pPr>
    </w:p>
    <w:p w14:paraId="6683986E" w14:textId="60060859" w:rsidR="00A47CBA" w:rsidRPr="009B2080" w:rsidRDefault="00A47CBA" w:rsidP="009B2080">
      <w:pPr>
        <w:pBdr>
          <w:bottom w:val="single" w:sz="4" w:space="0" w:color="auto"/>
        </w:pBdr>
        <w:spacing w:after="0" w:line="240" w:lineRule="auto"/>
        <w:jc w:val="both"/>
        <w:rPr>
          <w:rFonts w:ascii="Times New Roman" w:hAnsi="Times New Roman" w:cs="Times New Roman"/>
          <w:sz w:val="28"/>
          <w:szCs w:val="28"/>
        </w:rPr>
      </w:pPr>
    </w:p>
    <w:p w14:paraId="627B30BF" w14:textId="2B09F73D"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385EAF8F" w14:textId="2381D6F8"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4720AFA6" w14:textId="4BFF5F0D"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1EEE5735" w14:textId="38944BCB"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2C2C85C9" w14:textId="43153E18"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20FC02E6" w14:textId="7F0805C5"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71D25D0F" w14:textId="2E490A74"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4322BD50" w14:textId="26C5703E"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7F6FCD9E" w14:textId="77777777" w:rsidR="004D2C94" w:rsidRPr="009B2080" w:rsidRDefault="004D2C94" w:rsidP="009B2080">
      <w:pPr>
        <w:pBdr>
          <w:bottom w:val="single" w:sz="4" w:space="0" w:color="auto"/>
        </w:pBdr>
        <w:spacing w:after="0" w:line="240" w:lineRule="auto"/>
        <w:jc w:val="both"/>
        <w:rPr>
          <w:rFonts w:ascii="Times New Roman" w:hAnsi="Times New Roman" w:cs="Times New Roman"/>
          <w:sz w:val="28"/>
          <w:szCs w:val="28"/>
        </w:rPr>
      </w:pPr>
    </w:p>
    <w:p w14:paraId="5CDED8ED" w14:textId="6C34E931" w:rsidR="00A47CBA" w:rsidRPr="009B2080" w:rsidRDefault="00A47CBA" w:rsidP="009B2080">
      <w:pPr>
        <w:pBdr>
          <w:bottom w:val="single" w:sz="4" w:space="0" w:color="auto"/>
        </w:pBdr>
        <w:spacing w:after="0" w:line="240" w:lineRule="auto"/>
        <w:jc w:val="both"/>
        <w:rPr>
          <w:rFonts w:ascii="Times New Roman" w:hAnsi="Times New Roman" w:cs="Times New Roman"/>
          <w:sz w:val="28"/>
          <w:szCs w:val="28"/>
        </w:rPr>
      </w:pPr>
    </w:p>
    <w:p w14:paraId="719734F6" w14:textId="64F81763" w:rsidR="00147039" w:rsidRPr="009B2080" w:rsidRDefault="0006453C" w:rsidP="009B2080">
      <w:pPr>
        <w:jc w:val="both"/>
        <w:rPr>
          <w:rFonts w:ascii="Times New Roman" w:hAnsi="Times New Roman" w:cs="Times New Roman"/>
          <w:sz w:val="28"/>
          <w:szCs w:val="28"/>
        </w:rPr>
      </w:pPr>
      <w:r w:rsidRPr="009B2080">
        <w:rPr>
          <w:rFonts w:ascii="Times New Roman" w:hAnsi="Times New Roman" w:cs="Times New Roman"/>
          <w:sz w:val="28"/>
          <w:szCs w:val="28"/>
        </w:rPr>
        <w:t xml:space="preserve">The analysis of context that was articulated in the Road Map continues to accurately describe our operating </w:t>
      </w:r>
      <w:r w:rsidR="002B220A" w:rsidRPr="009B2080">
        <w:rPr>
          <w:rFonts w:ascii="Times New Roman" w:hAnsi="Times New Roman" w:cs="Times New Roman"/>
          <w:sz w:val="28"/>
          <w:szCs w:val="28"/>
        </w:rPr>
        <w:t>environment</w:t>
      </w:r>
      <w:r w:rsidRPr="009B2080">
        <w:rPr>
          <w:rFonts w:ascii="Times New Roman" w:hAnsi="Times New Roman" w:cs="Times New Roman"/>
          <w:sz w:val="28"/>
          <w:szCs w:val="28"/>
        </w:rPr>
        <w:t xml:space="preserve">. While the food crisis has become more localized in parts of Somalia and Ethiopia, the humanitarian context continues to be dire in South Sudan, </w:t>
      </w:r>
      <w:r w:rsidR="00BC59A4" w:rsidRPr="009B2080">
        <w:rPr>
          <w:rFonts w:ascii="Times New Roman" w:hAnsi="Times New Roman" w:cs="Times New Roman"/>
          <w:sz w:val="28"/>
          <w:szCs w:val="28"/>
        </w:rPr>
        <w:t xml:space="preserve">north-east </w:t>
      </w:r>
      <w:r w:rsidRPr="009B2080">
        <w:rPr>
          <w:rFonts w:ascii="Times New Roman" w:hAnsi="Times New Roman" w:cs="Times New Roman"/>
          <w:sz w:val="28"/>
          <w:szCs w:val="28"/>
        </w:rPr>
        <w:t>Nigeria,</w:t>
      </w:r>
      <w:r w:rsidR="00871FF7" w:rsidRPr="009B2080">
        <w:rPr>
          <w:rFonts w:ascii="Times New Roman" w:hAnsi="Times New Roman" w:cs="Times New Roman"/>
          <w:sz w:val="28"/>
          <w:szCs w:val="28"/>
        </w:rPr>
        <w:t xml:space="preserve"> </w:t>
      </w:r>
      <w:r w:rsidR="005F2F89" w:rsidRPr="009B2080">
        <w:rPr>
          <w:rFonts w:ascii="Times New Roman" w:hAnsi="Times New Roman" w:cs="Times New Roman"/>
          <w:sz w:val="28"/>
          <w:szCs w:val="28"/>
        </w:rPr>
        <w:t>Central African Republic (</w:t>
      </w:r>
      <w:r w:rsidR="00871FF7" w:rsidRPr="009B2080">
        <w:rPr>
          <w:rFonts w:ascii="Times New Roman" w:hAnsi="Times New Roman" w:cs="Times New Roman"/>
          <w:sz w:val="28"/>
          <w:szCs w:val="28"/>
        </w:rPr>
        <w:t>CAR</w:t>
      </w:r>
      <w:r w:rsidR="005F2F89" w:rsidRPr="009B2080">
        <w:rPr>
          <w:rFonts w:ascii="Times New Roman" w:hAnsi="Times New Roman" w:cs="Times New Roman"/>
          <w:sz w:val="28"/>
          <w:szCs w:val="28"/>
        </w:rPr>
        <w:t>)</w:t>
      </w:r>
      <w:r w:rsidRPr="009B2080">
        <w:rPr>
          <w:rFonts w:ascii="Times New Roman" w:hAnsi="Times New Roman" w:cs="Times New Roman"/>
          <w:sz w:val="28"/>
          <w:szCs w:val="28"/>
        </w:rPr>
        <w:t xml:space="preserve"> </w:t>
      </w:r>
      <w:r w:rsidR="002B220A" w:rsidRPr="009B2080">
        <w:rPr>
          <w:rFonts w:ascii="Times New Roman" w:hAnsi="Times New Roman" w:cs="Times New Roman"/>
          <w:sz w:val="28"/>
          <w:szCs w:val="28"/>
        </w:rPr>
        <w:t xml:space="preserve">and </w:t>
      </w:r>
      <w:r w:rsidR="00BC59A4" w:rsidRPr="009B2080">
        <w:rPr>
          <w:rFonts w:ascii="Times New Roman" w:hAnsi="Times New Roman" w:cs="Times New Roman"/>
          <w:sz w:val="28"/>
          <w:szCs w:val="28"/>
        </w:rPr>
        <w:t>Somalia</w:t>
      </w:r>
      <w:r w:rsidRPr="009B2080">
        <w:rPr>
          <w:rFonts w:ascii="Times New Roman" w:hAnsi="Times New Roman" w:cs="Times New Roman"/>
          <w:sz w:val="28"/>
          <w:szCs w:val="28"/>
        </w:rPr>
        <w:t>. In the second half of 2017</w:t>
      </w:r>
      <w:r w:rsidR="002B220A" w:rsidRPr="009B2080">
        <w:rPr>
          <w:rFonts w:ascii="Times New Roman" w:hAnsi="Times New Roman" w:cs="Times New Roman"/>
          <w:sz w:val="28"/>
          <w:szCs w:val="28"/>
        </w:rPr>
        <w:t>, several recurring</w:t>
      </w:r>
      <w:r w:rsidRPr="009B2080">
        <w:rPr>
          <w:rFonts w:ascii="Times New Roman" w:hAnsi="Times New Roman" w:cs="Times New Roman"/>
          <w:sz w:val="28"/>
          <w:szCs w:val="28"/>
        </w:rPr>
        <w:t xml:space="preserve"> emergencies </w:t>
      </w:r>
      <w:r w:rsidR="002B220A" w:rsidRPr="009B2080">
        <w:rPr>
          <w:rFonts w:ascii="Times New Roman" w:hAnsi="Times New Roman" w:cs="Times New Roman"/>
          <w:sz w:val="28"/>
          <w:szCs w:val="28"/>
        </w:rPr>
        <w:t>outpaced our expectations</w:t>
      </w:r>
      <w:r w:rsidRPr="009B2080">
        <w:rPr>
          <w:rFonts w:ascii="Times New Roman" w:hAnsi="Times New Roman" w:cs="Times New Roman"/>
          <w:sz w:val="28"/>
          <w:szCs w:val="28"/>
        </w:rPr>
        <w:t xml:space="preserve">. The refugee crisis in Uganda </w:t>
      </w:r>
      <w:r w:rsidR="002B220A" w:rsidRPr="009B2080">
        <w:rPr>
          <w:rFonts w:ascii="Times New Roman" w:hAnsi="Times New Roman" w:cs="Times New Roman"/>
          <w:sz w:val="28"/>
          <w:szCs w:val="28"/>
        </w:rPr>
        <w:t xml:space="preserve">has </w:t>
      </w:r>
      <w:r w:rsidR="00147039" w:rsidRPr="009B2080">
        <w:rPr>
          <w:rFonts w:ascii="Times New Roman" w:hAnsi="Times New Roman" w:cs="Times New Roman"/>
          <w:sz w:val="28"/>
          <w:szCs w:val="28"/>
        </w:rPr>
        <w:t>been compounded</w:t>
      </w:r>
      <w:r w:rsidR="00871FF7" w:rsidRPr="009B2080">
        <w:rPr>
          <w:rFonts w:ascii="Times New Roman" w:hAnsi="Times New Roman" w:cs="Times New Roman"/>
          <w:sz w:val="28"/>
          <w:szCs w:val="28"/>
        </w:rPr>
        <w:t xml:space="preserve"> by </w:t>
      </w:r>
      <w:r w:rsidR="00BC59A4" w:rsidRPr="009B2080">
        <w:rPr>
          <w:rFonts w:ascii="Times New Roman" w:hAnsi="Times New Roman" w:cs="Times New Roman"/>
          <w:sz w:val="28"/>
          <w:szCs w:val="28"/>
        </w:rPr>
        <w:t>a new influx of hundreds of people fleeing conflict in</w:t>
      </w:r>
      <w:r w:rsidR="005F2F89" w:rsidRPr="009B2080">
        <w:rPr>
          <w:rFonts w:ascii="Times New Roman" w:hAnsi="Times New Roman" w:cs="Times New Roman"/>
          <w:sz w:val="28"/>
          <w:szCs w:val="28"/>
        </w:rPr>
        <w:t xml:space="preserve"> the Democratic Republic of Congo</w:t>
      </w:r>
      <w:r w:rsidR="00BC59A4" w:rsidRPr="009B2080">
        <w:rPr>
          <w:rFonts w:ascii="Times New Roman" w:hAnsi="Times New Roman" w:cs="Times New Roman"/>
          <w:sz w:val="28"/>
          <w:szCs w:val="28"/>
        </w:rPr>
        <w:t xml:space="preserve"> </w:t>
      </w:r>
      <w:r w:rsidR="005F2F89" w:rsidRPr="009B2080">
        <w:rPr>
          <w:rFonts w:ascii="Times New Roman" w:hAnsi="Times New Roman" w:cs="Times New Roman"/>
          <w:sz w:val="28"/>
          <w:szCs w:val="28"/>
        </w:rPr>
        <w:t>(</w:t>
      </w:r>
      <w:r w:rsidR="00BC59A4" w:rsidRPr="009B2080">
        <w:rPr>
          <w:rFonts w:ascii="Times New Roman" w:hAnsi="Times New Roman" w:cs="Times New Roman"/>
          <w:sz w:val="28"/>
          <w:szCs w:val="28"/>
        </w:rPr>
        <w:t>DRC</w:t>
      </w:r>
      <w:r w:rsidR="005F2F89" w:rsidRPr="009B2080">
        <w:rPr>
          <w:rFonts w:ascii="Times New Roman" w:hAnsi="Times New Roman" w:cs="Times New Roman"/>
          <w:sz w:val="28"/>
          <w:szCs w:val="28"/>
        </w:rPr>
        <w:t>)</w:t>
      </w:r>
      <w:r w:rsidRPr="009B2080">
        <w:rPr>
          <w:rFonts w:ascii="Times New Roman" w:hAnsi="Times New Roman" w:cs="Times New Roman"/>
          <w:sz w:val="28"/>
          <w:szCs w:val="28"/>
        </w:rPr>
        <w:t xml:space="preserve">. </w:t>
      </w:r>
      <w:r w:rsidR="002B220A" w:rsidRPr="009B2080">
        <w:rPr>
          <w:rFonts w:ascii="Times New Roman" w:hAnsi="Times New Roman" w:cs="Times New Roman"/>
          <w:sz w:val="28"/>
          <w:szCs w:val="28"/>
        </w:rPr>
        <w:t xml:space="preserve">It may be reaching a breaking point and </w:t>
      </w:r>
      <w:r w:rsidR="005A2E5F" w:rsidRPr="009B2080">
        <w:rPr>
          <w:rFonts w:ascii="Times New Roman" w:hAnsi="Times New Roman" w:cs="Times New Roman"/>
          <w:sz w:val="28"/>
          <w:szCs w:val="28"/>
        </w:rPr>
        <w:t xml:space="preserve">have un-anticipated consequences. </w:t>
      </w:r>
      <w:r w:rsidR="00147039" w:rsidRPr="009B2080">
        <w:rPr>
          <w:rFonts w:ascii="Times New Roman" w:hAnsi="Times New Roman" w:cs="Times New Roman"/>
          <w:sz w:val="28"/>
          <w:szCs w:val="28"/>
        </w:rPr>
        <w:t>According to the UNHCR, more resources are urgently needed to upgrade the reception capacity and assist the new arrivals. This is particularly important, given that Uganda already hosts the largest number of refugees in Africa – some 1</w:t>
      </w:r>
      <w:r w:rsidR="00A62ECE" w:rsidRPr="009B2080">
        <w:rPr>
          <w:rFonts w:ascii="Times New Roman" w:hAnsi="Times New Roman" w:cs="Times New Roman"/>
          <w:sz w:val="28"/>
          <w:szCs w:val="28"/>
        </w:rPr>
        <w:t>.</w:t>
      </w:r>
      <w:r w:rsidR="00147039" w:rsidRPr="009B2080">
        <w:rPr>
          <w:rFonts w:ascii="Times New Roman" w:hAnsi="Times New Roman" w:cs="Times New Roman"/>
          <w:sz w:val="28"/>
          <w:szCs w:val="28"/>
        </w:rPr>
        <w:t>4 million overall.</w:t>
      </w:r>
    </w:p>
    <w:p w14:paraId="4A6E905E" w14:textId="77777777" w:rsidR="00147039" w:rsidRPr="009B2080" w:rsidRDefault="0006453C" w:rsidP="009B2080">
      <w:pPr>
        <w:pBdr>
          <w:bottom w:val="single" w:sz="4" w:space="1"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An outbreak of pneumonic plague in Madagascar required a diversion of resources, as it was both a form of plague that was less common </w:t>
      </w:r>
      <w:r w:rsidR="005A2E5F" w:rsidRPr="009B2080">
        <w:rPr>
          <w:rFonts w:ascii="Times New Roman" w:hAnsi="Times New Roman" w:cs="Times New Roman"/>
          <w:sz w:val="28"/>
          <w:szCs w:val="28"/>
        </w:rPr>
        <w:t xml:space="preserve">than usual </w:t>
      </w:r>
      <w:r w:rsidRPr="009B2080">
        <w:rPr>
          <w:rFonts w:ascii="Times New Roman" w:hAnsi="Times New Roman" w:cs="Times New Roman"/>
          <w:sz w:val="28"/>
          <w:szCs w:val="28"/>
        </w:rPr>
        <w:t xml:space="preserve">and outside the normal plague season (April). </w:t>
      </w:r>
    </w:p>
    <w:p w14:paraId="73192FA6" w14:textId="77777777" w:rsidR="00147039" w:rsidRPr="009B2080" w:rsidRDefault="00147039" w:rsidP="009B2080">
      <w:pPr>
        <w:pBdr>
          <w:bottom w:val="single" w:sz="4" w:space="1" w:color="auto"/>
        </w:pBdr>
        <w:spacing w:after="0" w:line="240" w:lineRule="auto"/>
        <w:jc w:val="both"/>
        <w:rPr>
          <w:rFonts w:ascii="Times New Roman" w:hAnsi="Times New Roman" w:cs="Times New Roman"/>
          <w:sz w:val="28"/>
          <w:szCs w:val="28"/>
        </w:rPr>
      </w:pPr>
    </w:p>
    <w:p w14:paraId="0B215FD2" w14:textId="0C952F14" w:rsidR="0006453C" w:rsidRPr="009B2080" w:rsidRDefault="00123B91" w:rsidP="009B2080">
      <w:pPr>
        <w:pBdr>
          <w:bottom w:val="single" w:sz="4" w:space="1"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While the</w:t>
      </w:r>
      <w:r w:rsidR="0006453C" w:rsidRPr="009B2080">
        <w:rPr>
          <w:rFonts w:ascii="Times New Roman" w:hAnsi="Times New Roman" w:cs="Times New Roman"/>
          <w:sz w:val="28"/>
          <w:szCs w:val="28"/>
        </w:rPr>
        <w:t xml:space="preserve"> </w:t>
      </w:r>
      <w:r w:rsidRPr="009B2080">
        <w:rPr>
          <w:rFonts w:ascii="Times New Roman" w:hAnsi="Times New Roman" w:cs="Times New Roman"/>
          <w:sz w:val="28"/>
          <w:szCs w:val="28"/>
        </w:rPr>
        <w:t xml:space="preserve">Road Map and the progress report </w:t>
      </w:r>
      <w:r w:rsidR="005A2E5F" w:rsidRPr="009B2080">
        <w:rPr>
          <w:rFonts w:ascii="Times New Roman" w:hAnsi="Times New Roman" w:cs="Times New Roman"/>
          <w:sz w:val="28"/>
          <w:szCs w:val="28"/>
        </w:rPr>
        <w:t>referred</w:t>
      </w:r>
      <w:r w:rsidRPr="009B2080">
        <w:rPr>
          <w:rFonts w:ascii="Times New Roman" w:hAnsi="Times New Roman" w:cs="Times New Roman"/>
          <w:sz w:val="28"/>
          <w:szCs w:val="28"/>
        </w:rPr>
        <w:t xml:space="preserve"> to the </w:t>
      </w:r>
      <w:r w:rsidR="0006453C" w:rsidRPr="009B2080">
        <w:rPr>
          <w:rFonts w:ascii="Times New Roman" w:hAnsi="Times New Roman" w:cs="Times New Roman"/>
          <w:sz w:val="28"/>
          <w:szCs w:val="28"/>
        </w:rPr>
        <w:t>situation in DRC</w:t>
      </w:r>
      <w:r w:rsidRPr="009B2080">
        <w:rPr>
          <w:rFonts w:ascii="Times New Roman" w:hAnsi="Times New Roman" w:cs="Times New Roman"/>
          <w:sz w:val="28"/>
          <w:szCs w:val="28"/>
        </w:rPr>
        <w:t xml:space="preserve">, it had not been identified as </w:t>
      </w:r>
      <w:r w:rsidR="005A2E5F" w:rsidRPr="009B2080">
        <w:rPr>
          <w:rFonts w:ascii="Times New Roman" w:hAnsi="Times New Roman" w:cs="Times New Roman"/>
          <w:sz w:val="28"/>
          <w:szCs w:val="28"/>
        </w:rPr>
        <w:t>a driving factor for the continent</w:t>
      </w:r>
      <w:r w:rsidRPr="009B2080">
        <w:rPr>
          <w:rFonts w:ascii="Times New Roman" w:hAnsi="Times New Roman" w:cs="Times New Roman"/>
          <w:sz w:val="28"/>
          <w:szCs w:val="28"/>
        </w:rPr>
        <w:t xml:space="preserve">. Currently, violence, a </w:t>
      </w:r>
      <w:r w:rsidR="00AB1541" w:rsidRPr="009B2080">
        <w:rPr>
          <w:rFonts w:ascii="Times New Roman" w:hAnsi="Times New Roman" w:cs="Times New Roman"/>
          <w:sz w:val="28"/>
          <w:szCs w:val="28"/>
        </w:rPr>
        <w:t>c</w:t>
      </w:r>
      <w:r w:rsidRPr="009B2080">
        <w:rPr>
          <w:rFonts w:ascii="Times New Roman" w:hAnsi="Times New Roman" w:cs="Times New Roman"/>
          <w:sz w:val="28"/>
          <w:szCs w:val="28"/>
        </w:rPr>
        <w:t>holera outbreak, collapse of the health system, floods, incoming refugees and</w:t>
      </w:r>
      <w:r w:rsidR="005A2E5F" w:rsidRPr="009B2080">
        <w:rPr>
          <w:rFonts w:ascii="Times New Roman" w:hAnsi="Times New Roman" w:cs="Times New Roman"/>
          <w:sz w:val="28"/>
          <w:szCs w:val="28"/>
        </w:rPr>
        <w:t xml:space="preserve"> a growing</w:t>
      </w:r>
      <w:r w:rsidRPr="009B2080">
        <w:rPr>
          <w:rFonts w:ascii="Times New Roman" w:hAnsi="Times New Roman" w:cs="Times New Roman"/>
          <w:sz w:val="28"/>
          <w:szCs w:val="28"/>
        </w:rPr>
        <w:t xml:space="preserve"> internally displaced population have conspired to make the DRC </w:t>
      </w:r>
      <w:r w:rsidR="005A2E5F" w:rsidRPr="009B2080">
        <w:rPr>
          <w:rFonts w:ascii="Times New Roman" w:hAnsi="Times New Roman" w:cs="Times New Roman"/>
          <w:sz w:val="28"/>
          <w:szCs w:val="28"/>
        </w:rPr>
        <w:t xml:space="preserve">an engine of humanitarian needs throughout central Africa and possibly </w:t>
      </w:r>
      <w:r w:rsidRPr="009B2080">
        <w:rPr>
          <w:rFonts w:ascii="Times New Roman" w:hAnsi="Times New Roman" w:cs="Times New Roman"/>
          <w:sz w:val="28"/>
          <w:szCs w:val="28"/>
        </w:rPr>
        <w:t xml:space="preserve">the most demanding </w:t>
      </w:r>
      <w:r w:rsidR="005A2E5F" w:rsidRPr="009B2080">
        <w:rPr>
          <w:rFonts w:ascii="Times New Roman" w:hAnsi="Times New Roman" w:cs="Times New Roman"/>
          <w:sz w:val="28"/>
          <w:szCs w:val="28"/>
        </w:rPr>
        <w:t>emergency</w:t>
      </w:r>
      <w:r w:rsidRPr="009B2080">
        <w:rPr>
          <w:rFonts w:ascii="Times New Roman" w:hAnsi="Times New Roman" w:cs="Times New Roman"/>
          <w:sz w:val="28"/>
          <w:szCs w:val="28"/>
        </w:rPr>
        <w:t xml:space="preserve"> in 2018. </w:t>
      </w:r>
    </w:p>
    <w:p w14:paraId="1A65A51A" w14:textId="77777777" w:rsidR="00123B91" w:rsidRPr="009B2080" w:rsidRDefault="00123B91" w:rsidP="009B2080">
      <w:pPr>
        <w:pBdr>
          <w:bottom w:val="single" w:sz="4" w:space="1" w:color="auto"/>
        </w:pBdr>
        <w:spacing w:after="0" w:line="240" w:lineRule="auto"/>
        <w:jc w:val="both"/>
        <w:rPr>
          <w:rFonts w:ascii="Times New Roman" w:hAnsi="Times New Roman" w:cs="Times New Roman"/>
          <w:sz w:val="28"/>
          <w:szCs w:val="28"/>
        </w:rPr>
      </w:pPr>
    </w:p>
    <w:p w14:paraId="38383135" w14:textId="77777777" w:rsidR="00147039" w:rsidRPr="009B2080" w:rsidRDefault="005A2E5F" w:rsidP="009B2080">
      <w:pPr>
        <w:pBdr>
          <w:bottom w:val="single" w:sz="4" w:space="1"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O</w:t>
      </w:r>
      <w:r w:rsidR="00123B91" w:rsidRPr="009B2080">
        <w:rPr>
          <w:rFonts w:ascii="Times New Roman" w:hAnsi="Times New Roman" w:cs="Times New Roman"/>
          <w:sz w:val="28"/>
          <w:szCs w:val="28"/>
        </w:rPr>
        <w:t xml:space="preserve">ther emerging trends identified in the last progress report included an exploding youth population, accelerating urbanization, ongoing localization of aid and increasing opportunities with the private sector, particularly around health. A new shelter strategy for 2018 will include elements around urban resilience. We also </w:t>
      </w:r>
      <w:r w:rsidR="00123B91" w:rsidRPr="009B2080">
        <w:rPr>
          <w:rFonts w:ascii="Times New Roman" w:hAnsi="Times New Roman" w:cs="Times New Roman"/>
          <w:sz w:val="28"/>
          <w:szCs w:val="28"/>
        </w:rPr>
        <w:lastRenderedPageBreak/>
        <w:t xml:space="preserve">hope to raise funds for added capacity to guide National Societies in meeting the needs of urban populations. </w:t>
      </w:r>
    </w:p>
    <w:p w14:paraId="33206F87" w14:textId="77777777" w:rsidR="00147039" w:rsidRPr="009B2080" w:rsidRDefault="00147039" w:rsidP="009B2080">
      <w:pPr>
        <w:pBdr>
          <w:bottom w:val="single" w:sz="4" w:space="1" w:color="auto"/>
        </w:pBdr>
        <w:spacing w:after="0" w:line="240" w:lineRule="auto"/>
        <w:jc w:val="both"/>
        <w:rPr>
          <w:rFonts w:ascii="Times New Roman" w:hAnsi="Times New Roman" w:cs="Times New Roman"/>
          <w:sz w:val="28"/>
          <w:szCs w:val="28"/>
        </w:rPr>
      </w:pPr>
    </w:p>
    <w:p w14:paraId="43959D4E" w14:textId="628730F4" w:rsidR="00147039" w:rsidRPr="009B2080" w:rsidRDefault="00123B91" w:rsidP="009B2080">
      <w:pPr>
        <w:pBdr>
          <w:bottom w:val="single" w:sz="4" w:space="1"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We are pleased to report that </w:t>
      </w:r>
      <w:r w:rsidR="00147039" w:rsidRPr="009B2080">
        <w:rPr>
          <w:rFonts w:ascii="Times New Roman" w:hAnsi="Times New Roman" w:cs="Times New Roman"/>
          <w:i/>
          <w:sz w:val="28"/>
          <w:szCs w:val="28"/>
        </w:rPr>
        <w:t>Médecins sans Frontières</w:t>
      </w:r>
      <w:r w:rsidRPr="009B2080">
        <w:rPr>
          <w:rFonts w:ascii="Times New Roman" w:hAnsi="Times New Roman" w:cs="Times New Roman"/>
          <w:sz w:val="28"/>
          <w:szCs w:val="28"/>
        </w:rPr>
        <w:t xml:space="preserve"> recently turned over a large water treatment facility to the Uganda Red Cross. This is a great example of localization of aid, shows confidence in the National Society and demonstrates the fact that when others leave, the Red Cross </w:t>
      </w:r>
      <w:r w:rsidR="005A2E5F" w:rsidRPr="009B2080">
        <w:rPr>
          <w:rFonts w:ascii="Times New Roman" w:hAnsi="Times New Roman" w:cs="Times New Roman"/>
          <w:sz w:val="28"/>
          <w:szCs w:val="28"/>
        </w:rPr>
        <w:t>stays behind. There can be no better evidence for our ubiquitous key message of our value proposition that we are there</w:t>
      </w:r>
      <w:r w:rsidRPr="009B2080">
        <w:rPr>
          <w:rFonts w:ascii="Times New Roman" w:hAnsi="Times New Roman" w:cs="Times New Roman"/>
          <w:sz w:val="28"/>
          <w:szCs w:val="28"/>
        </w:rPr>
        <w:t xml:space="preserve"> before, during and after crises. </w:t>
      </w:r>
    </w:p>
    <w:p w14:paraId="3DF80CBF" w14:textId="77777777" w:rsidR="00147039" w:rsidRPr="009B2080" w:rsidRDefault="00147039" w:rsidP="009B2080">
      <w:pPr>
        <w:pBdr>
          <w:bottom w:val="single" w:sz="4" w:space="1" w:color="auto"/>
        </w:pBdr>
        <w:spacing w:after="0" w:line="240" w:lineRule="auto"/>
        <w:jc w:val="both"/>
        <w:rPr>
          <w:rFonts w:ascii="Times New Roman" w:hAnsi="Times New Roman" w:cs="Times New Roman"/>
          <w:sz w:val="28"/>
          <w:szCs w:val="28"/>
        </w:rPr>
      </w:pPr>
    </w:p>
    <w:p w14:paraId="487B978F" w14:textId="786AB890" w:rsidR="00123B91" w:rsidRPr="009B2080" w:rsidRDefault="00123B91" w:rsidP="009B2080">
      <w:pPr>
        <w:pBdr>
          <w:bottom w:val="single" w:sz="4" w:space="1"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Outreach and business development for humanitarian and development gains with the private sector continued and is poised to grow in 2018. </w:t>
      </w:r>
      <w:r w:rsidR="00DD6BCB" w:rsidRPr="009B2080">
        <w:rPr>
          <w:rFonts w:ascii="Times New Roman" w:hAnsi="Times New Roman" w:cs="Times New Roman"/>
          <w:i/>
          <w:sz w:val="28"/>
          <w:szCs w:val="28"/>
        </w:rPr>
        <w:t>MPharma</w:t>
      </w:r>
      <w:r w:rsidR="005A2E5F" w:rsidRPr="009B2080">
        <w:rPr>
          <w:rFonts w:ascii="Times New Roman" w:hAnsi="Times New Roman" w:cs="Times New Roman"/>
          <w:sz w:val="28"/>
          <w:szCs w:val="28"/>
        </w:rPr>
        <w:t xml:space="preserve"> expanded its partnership to invest in Red Cross pharmacies with the Ethiopian Red Cross in the second half of 2017. And t</w:t>
      </w:r>
      <w:r w:rsidRPr="009B2080">
        <w:rPr>
          <w:rFonts w:ascii="Times New Roman" w:hAnsi="Times New Roman" w:cs="Times New Roman"/>
          <w:sz w:val="28"/>
          <w:szCs w:val="28"/>
        </w:rPr>
        <w:t xml:space="preserve">he IFRC and Kenya Red Cross are negotiating </w:t>
      </w:r>
      <w:r w:rsidR="005A2E5F" w:rsidRPr="009B2080">
        <w:rPr>
          <w:rFonts w:ascii="Times New Roman" w:hAnsi="Times New Roman" w:cs="Times New Roman"/>
          <w:sz w:val="28"/>
          <w:szCs w:val="28"/>
        </w:rPr>
        <w:t xml:space="preserve">business </w:t>
      </w:r>
      <w:r w:rsidRPr="009B2080">
        <w:rPr>
          <w:rFonts w:ascii="Times New Roman" w:hAnsi="Times New Roman" w:cs="Times New Roman"/>
          <w:sz w:val="28"/>
          <w:szCs w:val="28"/>
        </w:rPr>
        <w:t xml:space="preserve">terms with </w:t>
      </w:r>
      <w:r w:rsidRPr="009B2080">
        <w:rPr>
          <w:rFonts w:ascii="Times New Roman" w:hAnsi="Times New Roman" w:cs="Times New Roman"/>
          <w:i/>
          <w:sz w:val="28"/>
          <w:szCs w:val="28"/>
        </w:rPr>
        <w:t>Swiss</w:t>
      </w:r>
      <w:r w:rsidR="004D4912" w:rsidRPr="009B2080">
        <w:rPr>
          <w:rFonts w:ascii="Times New Roman" w:hAnsi="Times New Roman" w:cs="Times New Roman"/>
          <w:i/>
          <w:sz w:val="28"/>
          <w:szCs w:val="28"/>
        </w:rPr>
        <w:t xml:space="preserve"> </w:t>
      </w:r>
      <w:r w:rsidRPr="009B2080">
        <w:rPr>
          <w:rFonts w:ascii="Times New Roman" w:hAnsi="Times New Roman" w:cs="Times New Roman"/>
          <w:i/>
          <w:sz w:val="28"/>
          <w:szCs w:val="28"/>
        </w:rPr>
        <w:t>Re</w:t>
      </w:r>
      <w:r w:rsidRPr="009B2080">
        <w:rPr>
          <w:rFonts w:ascii="Times New Roman" w:hAnsi="Times New Roman" w:cs="Times New Roman"/>
          <w:sz w:val="28"/>
          <w:szCs w:val="28"/>
        </w:rPr>
        <w:t xml:space="preserve"> and a local insurance provider to develop large scale social safety nets for pastoralists</w:t>
      </w:r>
      <w:r w:rsidR="00C0586E" w:rsidRPr="009B2080">
        <w:rPr>
          <w:rFonts w:ascii="Times New Roman" w:hAnsi="Times New Roman" w:cs="Times New Roman"/>
          <w:sz w:val="28"/>
          <w:szCs w:val="28"/>
        </w:rPr>
        <w:t xml:space="preserve">. We also hope to purchase the first ever insurance product to cover an emergency appeal in 2018. </w:t>
      </w:r>
    </w:p>
    <w:p w14:paraId="48721CDE" w14:textId="77777777" w:rsidR="00123B91" w:rsidRPr="009B2080" w:rsidRDefault="00123B91" w:rsidP="009B2080">
      <w:pPr>
        <w:pBdr>
          <w:bottom w:val="single" w:sz="4" w:space="1" w:color="auto"/>
        </w:pBdr>
        <w:spacing w:after="0" w:line="240" w:lineRule="auto"/>
        <w:jc w:val="both"/>
        <w:rPr>
          <w:rFonts w:ascii="Times New Roman" w:hAnsi="Times New Roman" w:cs="Times New Roman"/>
          <w:sz w:val="28"/>
          <w:szCs w:val="28"/>
        </w:rPr>
      </w:pPr>
    </w:p>
    <w:p w14:paraId="5CCA5B45" w14:textId="782B207C" w:rsidR="00123B91" w:rsidRPr="009B2080" w:rsidRDefault="00C0586E" w:rsidP="009B2080">
      <w:pPr>
        <w:pBdr>
          <w:bottom w:val="single" w:sz="4" w:space="1" w:color="auto"/>
        </w:pBd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In response to internal challenges and the value we offer members, the </w:t>
      </w:r>
      <w:r w:rsidR="00123B91" w:rsidRPr="009B2080">
        <w:rPr>
          <w:rFonts w:ascii="Times New Roman" w:hAnsi="Times New Roman" w:cs="Times New Roman"/>
          <w:sz w:val="28"/>
          <w:szCs w:val="28"/>
        </w:rPr>
        <w:t xml:space="preserve">IFRC is responding to the crisis in DRC by opening a new country office. Internal funding will also be used to open a new cluster office in Madagascar, serving the Indian Ocean Islands and Djibouti. We expect </w:t>
      </w:r>
      <w:r w:rsidR="00147039" w:rsidRPr="009B2080">
        <w:rPr>
          <w:rFonts w:ascii="Times New Roman" w:hAnsi="Times New Roman" w:cs="Times New Roman"/>
          <w:sz w:val="28"/>
          <w:szCs w:val="28"/>
        </w:rPr>
        <w:t xml:space="preserve">that </w:t>
      </w:r>
      <w:r w:rsidR="00123B91" w:rsidRPr="009B2080">
        <w:rPr>
          <w:rFonts w:ascii="Times New Roman" w:hAnsi="Times New Roman" w:cs="Times New Roman"/>
          <w:sz w:val="28"/>
          <w:szCs w:val="28"/>
        </w:rPr>
        <w:t xml:space="preserve">these two new offices will allow the IFRC and its members to better serve one another and mobilize resources to better meet humanitarian and development needs. </w:t>
      </w:r>
    </w:p>
    <w:p w14:paraId="298A3BEB" w14:textId="37297E6A"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4DE36C64" w14:textId="28C227E6"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3B8167CA" w14:textId="6E7783ED"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7A0D093D" w14:textId="612869F6"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6675E57F" w14:textId="53F21EE3"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0A97DDEF" w14:textId="7F29C9C6"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012EBABA" w14:textId="78BE268B"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31D98C72" w14:textId="77777777" w:rsidR="00D45D4C" w:rsidRPr="009B2080" w:rsidRDefault="00D45D4C" w:rsidP="009B2080">
      <w:pPr>
        <w:pBdr>
          <w:bottom w:val="single" w:sz="4" w:space="1" w:color="auto"/>
        </w:pBdr>
        <w:spacing w:after="0" w:line="240" w:lineRule="auto"/>
        <w:jc w:val="both"/>
        <w:rPr>
          <w:rFonts w:ascii="Times New Roman" w:hAnsi="Times New Roman" w:cs="Times New Roman"/>
          <w:sz w:val="28"/>
          <w:szCs w:val="28"/>
        </w:rPr>
      </w:pPr>
    </w:p>
    <w:p w14:paraId="26A6A179" w14:textId="77777777" w:rsidR="00D45D4C" w:rsidRPr="009B2080" w:rsidRDefault="00D45D4C" w:rsidP="009B2080">
      <w:pPr>
        <w:pBdr>
          <w:bottom w:val="single" w:sz="4" w:space="1" w:color="auto"/>
        </w:pBdr>
        <w:spacing w:after="0" w:line="240" w:lineRule="auto"/>
        <w:jc w:val="both"/>
        <w:rPr>
          <w:rFonts w:ascii="Times New Roman" w:hAnsi="Times New Roman" w:cs="Times New Roman"/>
          <w:b/>
          <w:bCs/>
          <w:sz w:val="28"/>
          <w:szCs w:val="28"/>
        </w:rPr>
      </w:pPr>
    </w:p>
    <w:p w14:paraId="541F8576" w14:textId="56E4E80A" w:rsidR="00B211EF" w:rsidRPr="009B2080" w:rsidRDefault="00B211EF" w:rsidP="009B2080">
      <w:pPr>
        <w:pBdr>
          <w:bottom w:val="single" w:sz="4" w:space="1" w:color="auto"/>
        </w:pBdr>
        <w:spacing w:after="0" w:line="240" w:lineRule="auto"/>
        <w:jc w:val="both"/>
        <w:rPr>
          <w:rFonts w:ascii="Times New Roman" w:hAnsi="Times New Roman" w:cs="Times New Roman"/>
          <w:b/>
          <w:bCs/>
          <w:sz w:val="28"/>
          <w:szCs w:val="28"/>
        </w:rPr>
      </w:pPr>
      <w:r w:rsidRPr="009B2080">
        <w:rPr>
          <w:rFonts w:ascii="Times New Roman" w:hAnsi="Times New Roman" w:cs="Times New Roman"/>
          <w:b/>
          <w:bCs/>
          <w:sz w:val="28"/>
          <w:szCs w:val="28"/>
        </w:rPr>
        <w:t>STRATEGIC PRIORITIES</w:t>
      </w:r>
    </w:p>
    <w:p w14:paraId="584FDC67" w14:textId="0B77CB13" w:rsidR="00B211EF" w:rsidRPr="009B2080" w:rsidRDefault="00816C66"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color w:val="000000"/>
          <w:sz w:val="28"/>
          <w:szCs w:val="28"/>
        </w:rPr>
        <w:t>I</w:t>
      </w:r>
      <w:r w:rsidR="00B211EF" w:rsidRPr="009B2080">
        <w:rPr>
          <w:rFonts w:ascii="Times New Roman" w:hAnsi="Times New Roman" w:cs="Times New Roman"/>
          <w:color w:val="000000"/>
          <w:sz w:val="28"/>
          <w:szCs w:val="28"/>
        </w:rPr>
        <w:t>n response to major trends believed to be driving humanitarian and development needs, th</w:t>
      </w:r>
      <w:r w:rsidR="00B211EF" w:rsidRPr="009B2080">
        <w:rPr>
          <w:rFonts w:ascii="Times New Roman" w:hAnsi="Times New Roman" w:cs="Times New Roman"/>
          <w:sz w:val="28"/>
          <w:szCs w:val="28"/>
        </w:rPr>
        <w:t>e road map identified four strategic priorities</w:t>
      </w:r>
      <w:r w:rsidR="00ED0294" w:rsidRPr="009B2080">
        <w:rPr>
          <w:rFonts w:ascii="Times New Roman" w:hAnsi="Times New Roman" w:cs="Times New Roman"/>
          <w:sz w:val="28"/>
          <w:szCs w:val="28"/>
        </w:rPr>
        <w:t xml:space="preserve"> for the IFRC in Africa</w:t>
      </w:r>
      <w:r w:rsidR="00B211EF" w:rsidRPr="009B2080">
        <w:rPr>
          <w:rFonts w:ascii="Times New Roman" w:hAnsi="Times New Roman" w:cs="Times New Roman"/>
          <w:sz w:val="28"/>
          <w:szCs w:val="28"/>
        </w:rPr>
        <w:t xml:space="preserve">. These were </w:t>
      </w:r>
      <w:r w:rsidR="004D2C94" w:rsidRPr="009B2080">
        <w:rPr>
          <w:rFonts w:ascii="Times New Roman" w:hAnsi="Times New Roman" w:cs="Times New Roman"/>
          <w:sz w:val="28"/>
          <w:szCs w:val="28"/>
        </w:rPr>
        <w:t xml:space="preserve">(1) </w:t>
      </w:r>
      <w:r w:rsidR="00B211EF" w:rsidRPr="009B2080">
        <w:rPr>
          <w:rFonts w:ascii="Times New Roman" w:hAnsi="Times New Roman" w:cs="Times New Roman"/>
          <w:sz w:val="28"/>
          <w:szCs w:val="28"/>
        </w:rPr>
        <w:t xml:space="preserve">chronic food and health needs, </w:t>
      </w:r>
      <w:r w:rsidR="004D2C94" w:rsidRPr="009B2080">
        <w:rPr>
          <w:rFonts w:ascii="Times New Roman" w:hAnsi="Times New Roman" w:cs="Times New Roman"/>
          <w:sz w:val="28"/>
          <w:szCs w:val="28"/>
        </w:rPr>
        <w:t xml:space="preserve">(2) </w:t>
      </w:r>
      <w:r w:rsidR="00B211EF" w:rsidRPr="009B2080">
        <w:rPr>
          <w:rFonts w:ascii="Times New Roman" w:hAnsi="Times New Roman" w:cs="Times New Roman"/>
          <w:sz w:val="28"/>
          <w:szCs w:val="28"/>
        </w:rPr>
        <w:t xml:space="preserve">acute crises, </w:t>
      </w:r>
      <w:r w:rsidR="004D2C94" w:rsidRPr="009B2080">
        <w:rPr>
          <w:rFonts w:ascii="Times New Roman" w:hAnsi="Times New Roman" w:cs="Times New Roman"/>
          <w:sz w:val="28"/>
          <w:szCs w:val="28"/>
        </w:rPr>
        <w:t xml:space="preserve">(3) </w:t>
      </w:r>
      <w:r w:rsidR="00B211EF" w:rsidRPr="009B2080">
        <w:rPr>
          <w:rFonts w:ascii="Times New Roman" w:hAnsi="Times New Roman" w:cs="Times New Roman"/>
          <w:sz w:val="28"/>
          <w:szCs w:val="28"/>
        </w:rPr>
        <w:t xml:space="preserve">population movement and </w:t>
      </w:r>
      <w:r w:rsidR="004D2C94" w:rsidRPr="009B2080">
        <w:rPr>
          <w:rFonts w:ascii="Times New Roman" w:hAnsi="Times New Roman" w:cs="Times New Roman"/>
          <w:sz w:val="28"/>
          <w:szCs w:val="28"/>
        </w:rPr>
        <w:t xml:space="preserve">(4) </w:t>
      </w:r>
      <w:r w:rsidR="00B211EF" w:rsidRPr="009B2080">
        <w:rPr>
          <w:rFonts w:ascii="Times New Roman" w:hAnsi="Times New Roman" w:cs="Times New Roman"/>
          <w:sz w:val="28"/>
          <w:szCs w:val="28"/>
        </w:rPr>
        <w:t xml:space="preserve">National Society Development. Based on </w:t>
      </w:r>
      <w:r w:rsidR="00EA1782" w:rsidRPr="009B2080">
        <w:rPr>
          <w:rFonts w:ascii="Times New Roman" w:hAnsi="Times New Roman" w:cs="Times New Roman"/>
          <w:sz w:val="28"/>
          <w:szCs w:val="28"/>
        </w:rPr>
        <w:t>the year 2017</w:t>
      </w:r>
      <w:r w:rsidR="00B211EF" w:rsidRPr="009B2080">
        <w:rPr>
          <w:rFonts w:ascii="Times New Roman" w:hAnsi="Times New Roman" w:cs="Times New Roman"/>
          <w:sz w:val="28"/>
          <w:szCs w:val="28"/>
        </w:rPr>
        <w:t>, the IFRC leadership team in Africa believes these continue to be the right priorities. National Society operations and demand for support</w:t>
      </w:r>
      <w:r w:rsidR="00ED0294" w:rsidRPr="009B2080">
        <w:rPr>
          <w:rFonts w:ascii="Times New Roman" w:hAnsi="Times New Roman" w:cs="Times New Roman"/>
          <w:sz w:val="28"/>
          <w:szCs w:val="28"/>
        </w:rPr>
        <w:t xml:space="preserve"> through</w:t>
      </w:r>
      <w:r w:rsidR="00B211EF" w:rsidRPr="009B2080">
        <w:rPr>
          <w:rFonts w:ascii="Times New Roman" w:hAnsi="Times New Roman" w:cs="Times New Roman"/>
          <w:sz w:val="28"/>
          <w:szCs w:val="28"/>
        </w:rPr>
        <w:t xml:space="preserve"> emergency appeals, </w:t>
      </w:r>
      <w:r w:rsidR="00712527" w:rsidRPr="009B2080">
        <w:rPr>
          <w:rFonts w:ascii="Times New Roman" w:hAnsi="Times New Roman" w:cs="Times New Roman"/>
          <w:sz w:val="28"/>
          <w:szCs w:val="28"/>
        </w:rPr>
        <w:t>Disaster Relief Emergency Fund (DREF)</w:t>
      </w:r>
      <w:r w:rsidR="00B211EF" w:rsidRPr="009B2080">
        <w:rPr>
          <w:rFonts w:ascii="Times New Roman" w:hAnsi="Times New Roman" w:cs="Times New Roman"/>
          <w:sz w:val="28"/>
          <w:szCs w:val="28"/>
        </w:rPr>
        <w:t xml:space="preserve"> and development operations in the </w:t>
      </w:r>
      <w:r w:rsidR="00EA1782" w:rsidRPr="009B2080">
        <w:rPr>
          <w:rFonts w:ascii="Times New Roman" w:hAnsi="Times New Roman" w:cs="Times New Roman"/>
          <w:sz w:val="28"/>
          <w:szCs w:val="28"/>
        </w:rPr>
        <w:t>year</w:t>
      </w:r>
      <w:r w:rsidR="00B211EF" w:rsidRPr="009B2080">
        <w:rPr>
          <w:rFonts w:ascii="Times New Roman" w:hAnsi="Times New Roman" w:cs="Times New Roman"/>
          <w:sz w:val="28"/>
          <w:szCs w:val="28"/>
        </w:rPr>
        <w:t xml:space="preserve"> of </w:t>
      </w:r>
      <w:r w:rsidR="00ED0294" w:rsidRPr="009B2080">
        <w:rPr>
          <w:rFonts w:ascii="Times New Roman" w:hAnsi="Times New Roman" w:cs="Times New Roman"/>
          <w:sz w:val="28"/>
          <w:szCs w:val="28"/>
        </w:rPr>
        <w:t>2017 reflect these priorities.</w:t>
      </w:r>
      <w:r w:rsidR="00AB1541" w:rsidRPr="009B2080">
        <w:rPr>
          <w:rFonts w:ascii="Times New Roman" w:hAnsi="Times New Roman" w:cs="Times New Roman"/>
          <w:sz w:val="28"/>
          <w:szCs w:val="28"/>
        </w:rPr>
        <w:br/>
      </w:r>
    </w:p>
    <w:p w14:paraId="54BC2B6F" w14:textId="77777777" w:rsidR="006F602A" w:rsidRPr="009B2080" w:rsidRDefault="006F602A" w:rsidP="009B2080">
      <w:pPr>
        <w:pBdr>
          <w:bottom w:val="single" w:sz="4" w:space="1" w:color="auto"/>
        </w:pBdr>
        <w:spacing w:after="0" w:line="240" w:lineRule="auto"/>
        <w:jc w:val="both"/>
        <w:rPr>
          <w:rFonts w:ascii="Times New Roman" w:hAnsi="Times New Roman" w:cs="Times New Roman"/>
          <w:b/>
          <w:bCs/>
          <w:sz w:val="28"/>
          <w:szCs w:val="28"/>
        </w:rPr>
      </w:pPr>
      <w:r w:rsidRPr="009B2080">
        <w:rPr>
          <w:rFonts w:ascii="Times New Roman" w:hAnsi="Times New Roman" w:cs="Times New Roman"/>
          <w:b/>
          <w:bCs/>
          <w:sz w:val="28"/>
          <w:szCs w:val="28"/>
        </w:rPr>
        <w:lastRenderedPageBreak/>
        <w:t>SUMMARY OF CURRENT OPERATIONS</w:t>
      </w:r>
    </w:p>
    <w:p w14:paraId="51DB27C0" w14:textId="62CD1D5F" w:rsidR="00E33862" w:rsidRPr="009B2080" w:rsidRDefault="00E33862" w:rsidP="009B2080">
      <w:pPr>
        <w:shd w:val="clear" w:color="auto" w:fill="FFFFFF" w:themeFill="background1"/>
        <w:jc w:val="both"/>
        <w:rPr>
          <w:rFonts w:ascii="Times New Roman" w:hAnsi="Times New Roman" w:cs="Times New Roman"/>
          <w:sz w:val="28"/>
          <w:szCs w:val="28"/>
        </w:rPr>
      </w:pPr>
      <w:r w:rsidRPr="009B2080">
        <w:rPr>
          <w:rFonts w:ascii="Times New Roman" w:hAnsi="Times New Roman" w:cs="Times New Roman"/>
          <w:sz w:val="28"/>
          <w:szCs w:val="28"/>
        </w:rPr>
        <w:t>In the Africa Region, at the end of</w:t>
      </w:r>
      <w:r w:rsidR="00402386" w:rsidRPr="009B2080">
        <w:rPr>
          <w:rFonts w:ascii="Times New Roman" w:hAnsi="Times New Roman" w:cs="Times New Roman"/>
          <w:sz w:val="28"/>
          <w:szCs w:val="28"/>
        </w:rPr>
        <w:t xml:space="preserve"> the reporting period, we had </w:t>
      </w:r>
      <w:r w:rsidR="005D3B11" w:rsidRPr="009B2080">
        <w:rPr>
          <w:rFonts w:ascii="Times New Roman" w:hAnsi="Times New Roman" w:cs="Times New Roman"/>
          <w:sz w:val="28"/>
          <w:szCs w:val="28"/>
        </w:rPr>
        <w:t xml:space="preserve">ten </w:t>
      </w:r>
      <w:r w:rsidRPr="009B2080">
        <w:rPr>
          <w:rFonts w:ascii="Times New Roman" w:hAnsi="Times New Roman" w:cs="Times New Roman"/>
          <w:sz w:val="28"/>
          <w:szCs w:val="28"/>
        </w:rPr>
        <w:t>active emergency appeals, responding to a range of issues including (b</w:t>
      </w:r>
      <w:r w:rsidR="00402386" w:rsidRPr="009B2080">
        <w:rPr>
          <w:rFonts w:ascii="Times New Roman" w:hAnsi="Times New Roman" w:cs="Times New Roman"/>
          <w:sz w:val="28"/>
          <w:szCs w:val="28"/>
        </w:rPr>
        <w:t>y frequency): food insecurity (3</w:t>
      </w:r>
      <w:r w:rsidRPr="009B2080">
        <w:rPr>
          <w:rFonts w:ascii="Times New Roman" w:hAnsi="Times New Roman" w:cs="Times New Roman"/>
          <w:sz w:val="28"/>
          <w:szCs w:val="28"/>
        </w:rPr>
        <w:t>), population movement and complex emergen</w:t>
      </w:r>
      <w:r w:rsidR="0004166A" w:rsidRPr="009B2080">
        <w:rPr>
          <w:rFonts w:ascii="Times New Roman" w:hAnsi="Times New Roman" w:cs="Times New Roman"/>
          <w:sz w:val="28"/>
          <w:szCs w:val="28"/>
        </w:rPr>
        <w:t>cies (2</w:t>
      </w:r>
      <w:r w:rsidRPr="009B2080">
        <w:rPr>
          <w:rFonts w:ascii="Times New Roman" w:hAnsi="Times New Roman" w:cs="Times New Roman"/>
          <w:sz w:val="28"/>
          <w:szCs w:val="28"/>
        </w:rPr>
        <w:t xml:space="preserve">), </w:t>
      </w:r>
      <w:r w:rsidR="00065266" w:rsidRPr="009B2080">
        <w:rPr>
          <w:rFonts w:ascii="Times New Roman" w:hAnsi="Times New Roman" w:cs="Times New Roman"/>
          <w:sz w:val="28"/>
          <w:szCs w:val="28"/>
        </w:rPr>
        <w:t xml:space="preserve">epidemics (2), </w:t>
      </w:r>
      <w:r w:rsidRPr="009B2080">
        <w:rPr>
          <w:rFonts w:ascii="Times New Roman" w:hAnsi="Times New Roman" w:cs="Times New Roman"/>
          <w:sz w:val="28"/>
          <w:szCs w:val="28"/>
        </w:rPr>
        <w:t>tro</w:t>
      </w:r>
      <w:r w:rsidR="00402386" w:rsidRPr="009B2080">
        <w:rPr>
          <w:rFonts w:ascii="Times New Roman" w:hAnsi="Times New Roman" w:cs="Times New Roman"/>
          <w:sz w:val="28"/>
          <w:szCs w:val="28"/>
        </w:rPr>
        <w:t xml:space="preserve">pical cyclones (1), </w:t>
      </w:r>
      <w:r w:rsidRPr="009B2080">
        <w:rPr>
          <w:rFonts w:ascii="Times New Roman" w:hAnsi="Times New Roman" w:cs="Times New Roman"/>
          <w:sz w:val="28"/>
          <w:szCs w:val="28"/>
        </w:rPr>
        <w:t xml:space="preserve">floods (1) and regional coordination for Food </w:t>
      </w:r>
      <w:r w:rsidRPr="009B2080">
        <w:rPr>
          <w:rFonts w:ascii="Times New Roman" w:hAnsi="Times New Roman" w:cs="Times New Roman"/>
          <w:color w:val="000000" w:themeColor="text1"/>
          <w:sz w:val="28"/>
          <w:szCs w:val="28"/>
        </w:rPr>
        <w:t>Crisis</w:t>
      </w:r>
      <w:r w:rsidR="00402386" w:rsidRPr="009B2080">
        <w:rPr>
          <w:rFonts w:ascii="Times New Roman" w:hAnsi="Times New Roman" w:cs="Times New Roman"/>
          <w:color w:val="000000" w:themeColor="text1"/>
          <w:sz w:val="28"/>
          <w:szCs w:val="28"/>
        </w:rPr>
        <w:t xml:space="preserve"> (1). </w:t>
      </w:r>
      <w:r w:rsidR="00402386" w:rsidRPr="009B2080">
        <w:rPr>
          <w:rFonts w:ascii="Times New Roman" w:hAnsi="Times New Roman" w:cs="Times New Roman"/>
          <w:sz w:val="28"/>
          <w:szCs w:val="28"/>
        </w:rPr>
        <w:t>Of the</w:t>
      </w:r>
      <w:r w:rsidR="0004166A" w:rsidRPr="009B2080">
        <w:rPr>
          <w:rFonts w:ascii="Times New Roman" w:hAnsi="Times New Roman" w:cs="Times New Roman"/>
          <w:sz w:val="28"/>
          <w:szCs w:val="28"/>
        </w:rPr>
        <w:t>se operations, five</w:t>
      </w:r>
      <w:r w:rsidRPr="009B2080">
        <w:rPr>
          <w:rFonts w:ascii="Times New Roman" w:hAnsi="Times New Roman" w:cs="Times New Roman"/>
          <w:sz w:val="28"/>
          <w:szCs w:val="28"/>
        </w:rPr>
        <w:t xml:space="preserve"> occur geographically within East Africa, two in Southern Africa, </w:t>
      </w:r>
      <w:r w:rsidR="0004166A" w:rsidRPr="009B2080">
        <w:rPr>
          <w:rFonts w:ascii="Times New Roman" w:hAnsi="Times New Roman" w:cs="Times New Roman"/>
          <w:sz w:val="28"/>
          <w:szCs w:val="28"/>
        </w:rPr>
        <w:t>two</w:t>
      </w:r>
      <w:r w:rsidRPr="009B2080">
        <w:rPr>
          <w:rFonts w:ascii="Times New Roman" w:hAnsi="Times New Roman" w:cs="Times New Roman"/>
          <w:sz w:val="28"/>
          <w:szCs w:val="28"/>
        </w:rPr>
        <w:t xml:space="preserve"> in Western </w:t>
      </w:r>
      <w:r w:rsidR="0004166A" w:rsidRPr="009B2080">
        <w:rPr>
          <w:rFonts w:ascii="Times New Roman" w:hAnsi="Times New Roman" w:cs="Times New Roman"/>
          <w:sz w:val="28"/>
          <w:szCs w:val="28"/>
        </w:rPr>
        <w:t>Africa, and</w:t>
      </w:r>
      <w:r w:rsidRPr="009B2080">
        <w:rPr>
          <w:rFonts w:ascii="Times New Roman" w:hAnsi="Times New Roman" w:cs="Times New Roman"/>
          <w:sz w:val="28"/>
          <w:szCs w:val="28"/>
        </w:rPr>
        <w:t xml:space="preserve"> the last lies at the regional level. Timely deployment of human resources and scenario planning proved to be critical factors in high implementation rates and good decision making.</w:t>
      </w:r>
    </w:p>
    <w:p w14:paraId="5F90D634" w14:textId="78E221E9" w:rsidR="00E33862" w:rsidRPr="009B2080" w:rsidRDefault="00E33862" w:rsidP="009B2080">
      <w:pPr>
        <w:shd w:val="clear" w:color="auto" w:fill="FFFFFF" w:themeFill="background1"/>
        <w:jc w:val="both"/>
        <w:rPr>
          <w:rFonts w:ascii="Times New Roman" w:hAnsi="Times New Roman" w:cs="Times New Roman"/>
          <w:sz w:val="28"/>
          <w:szCs w:val="28"/>
        </w:rPr>
      </w:pPr>
      <w:r w:rsidRPr="009B2080">
        <w:rPr>
          <w:rFonts w:ascii="Times New Roman" w:hAnsi="Times New Roman" w:cs="Times New Roman"/>
          <w:sz w:val="28"/>
          <w:szCs w:val="28"/>
        </w:rPr>
        <w:t>The region has also had a wide range of DREF</w:t>
      </w:r>
      <w:r w:rsidR="00573654" w:rsidRPr="009B2080">
        <w:rPr>
          <w:rFonts w:ascii="Times New Roman" w:hAnsi="Times New Roman" w:cs="Times New Roman"/>
          <w:sz w:val="28"/>
          <w:szCs w:val="28"/>
        </w:rPr>
        <w:t xml:space="preserve"> </w:t>
      </w:r>
      <w:r w:rsidRPr="009B2080">
        <w:rPr>
          <w:rFonts w:ascii="Times New Roman" w:hAnsi="Times New Roman" w:cs="Times New Roman"/>
          <w:sz w:val="28"/>
          <w:szCs w:val="28"/>
        </w:rPr>
        <w:t xml:space="preserve">operations. </w:t>
      </w:r>
      <w:r w:rsidR="00964A54" w:rsidRPr="009B2080">
        <w:rPr>
          <w:rFonts w:ascii="Times New Roman" w:hAnsi="Times New Roman" w:cs="Times New Roman"/>
          <w:sz w:val="28"/>
          <w:szCs w:val="28"/>
        </w:rPr>
        <w:t xml:space="preserve">Between July 2017 </w:t>
      </w:r>
      <w:r w:rsidR="005D3B11" w:rsidRPr="009B2080">
        <w:rPr>
          <w:rFonts w:ascii="Times New Roman" w:hAnsi="Times New Roman" w:cs="Times New Roman"/>
          <w:sz w:val="28"/>
          <w:szCs w:val="28"/>
        </w:rPr>
        <w:t xml:space="preserve">and </w:t>
      </w:r>
      <w:r w:rsidR="00964A54" w:rsidRPr="009B2080">
        <w:rPr>
          <w:rFonts w:ascii="Times New Roman" w:hAnsi="Times New Roman" w:cs="Times New Roman"/>
          <w:sz w:val="28"/>
          <w:szCs w:val="28"/>
        </w:rPr>
        <w:t>November 2017</w:t>
      </w:r>
      <w:r w:rsidR="005D3B11" w:rsidRPr="009B2080">
        <w:rPr>
          <w:rFonts w:ascii="Times New Roman" w:hAnsi="Times New Roman" w:cs="Times New Roman"/>
          <w:sz w:val="28"/>
          <w:szCs w:val="28"/>
        </w:rPr>
        <w:t>,</w:t>
      </w:r>
      <w:r w:rsidR="00964A54" w:rsidRPr="009B2080">
        <w:rPr>
          <w:rFonts w:ascii="Times New Roman" w:hAnsi="Times New Roman" w:cs="Times New Roman"/>
          <w:sz w:val="28"/>
          <w:szCs w:val="28"/>
        </w:rPr>
        <w:t xml:space="preserve"> 17</w:t>
      </w:r>
      <w:r w:rsidRPr="009B2080">
        <w:rPr>
          <w:rFonts w:ascii="Times New Roman" w:hAnsi="Times New Roman" w:cs="Times New Roman"/>
          <w:sz w:val="28"/>
          <w:szCs w:val="28"/>
        </w:rPr>
        <w:t xml:space="preserve"> DREF operations</w:t>
      </w:r>
      <w:r w:rsidR="00EC0A6C" w:rsidRPr="009B2080">
        <w:rPr>
          <w:rFonts w:ascii="Times New Roman" w:hAnsi="Times New Roman" w:cs="Times New Roman"/>
          <w:sz w:val="28"/>
          <w:szCs w:val="28"/>
        </w:rPr>
        <w:t xml:space="preserve"> </w:t>
      </w:r>
      <w:r w:rsidR="005D3B11" w:rsidRPr="009B2080">
        <w:rPr>
          <w:rFonts w:ascii="Times New Roman" w:hAnsi="Times New Roman" w:cs="Times New Roman"/>
          <w:sz w:val="28"/>
          <w:szCs w:val="28"/>
        </w:rPr>
        <w:t>were</w:t>
      </w:r>
      <w:r w:rsidR="00EC0A6C" w:rsidRPr="009B2080">
        <w:rPr>
          <w:rFonts w:ascii="Times New Roman" w:hAnsi="Times New Roman" w:cs="Times New Roman"/>
          <w:sz w:val="28"/>
          <w:szCs w:val="28"/>
        </w:rPr>
        <w:t xml:space="preserve"> launched to support NS</w:t>
      </w:r>
      <w:r w:rsidRPr="009B2080">
        <w:rPr>
          <w:rFonts w:ascii="Times New Roman" w:hAnsi="Times New Roman" w:cs="Times New Roman"/>
          <w:sz w:val="28"/>
          <w:szCs w:val="28"/>
        </w:rPr>
        <w:t xml:space="preserve"> to deliver assistance to people affected by disasters, epidemics, food insecurity</w:t>
      </w:r>
      <w:r w:rsidR="00871FF7" w:rsidRPr="009B2080">
        <w:rPr>
          <w:rFonts w:ascii="Times New Roman" w:hAnsi="Times New Roman" w:cs="Times New Roman"/>
          <w:sz w:val="28"/>
          <w:szCs w:val="28"/>
        </w:rPr>
        <w:t xml:space="preserve">, political or economic disruption </w:t>
      </w:r>
      <w:r w:rsidRPr="009B2080">
        <w:rPr>
          <w:rFonts w:ascii="Times New Roman" w:hAnsi="Times New Roman" w:cs="Times New Roman"/>
          <w:sz w:val="28"/>
          <w:szCs w:val="28"/>
        </w:rPr>
        <w:t xml:space="preserve">in the region. </w:t>
      </w:r>
    </w:p>
    <w:p w14:paraId="5276607B" w14:textId="2BA8FA9F" w:rsidR="00E33862" w:rsidRPr="009B2080" w:rsidRDefault="00E33862" w:rsidP="009B2080">
      <w:pPr>
        <w:pStyle w:val="Body"/>
        <w:spacing w:after="0" w:line="240" w:lineRule="auto"/>
        <w:jc w:val="both"/>
        <w:rPr>
          <w:rFonts w:ascii="Times New Roman" w:eastAsia="Calibri Light" w:hAnsi="Times New Roman" w:cs="Times New Roman"/>
          <w:sz w:val="28"/>
          <w:szCs w:val="28"/>
        </w:rPr>
      </w:pPr>
      <w:r w:rsidRPr="009B2080">
        <w:rPr>
          <w:rFonts w:ascii="Times New Roman" w:hAnsi="Times New Roman" w:cs="Times New Roman"/>
          <w:sz w:val="28"/>
          <w:szCs w:val="28"/>
        </w:rPr>
        <w:t>Throughout the reporting period, the IFRC in Africa has continued to support and develop program</w:t>
      </w:r>
      <w:r w:rsidR="005D3B11" w:rsidRPr="009B2080">
        <w:rPr>
          <w:rFonts w:ascii="Times New Roman" w:hAnsi="Times New Roman" w:cs="Times New Roman"/>
          <w:sz w:val="28"/>
          <w:szCs w:val="28"/>
        </w:rPr>
        <w:t>me</w:t>
      </w:r>
      <w:r w:rsidRPr="009B2080">
        <w:rPr>
          <w:rFonts w:ascii="Times New Roman" w:hAnsi="Times New Roman" w:cs="Times New Roman"/>
          <w:sz w:val="28"/>
          <w:szCs w:val="28"/>
        </w:rPr>
        <w:t xml:space="preserve">s with </w:t>
      </w:r>
      <w:r w:rsidR="00EC0A6C" w:rsidRPr="009B2080">
        <w:rPr>
          <w:rFonts w:ascii="Times New Roman" w:hAnsi="Times New Roman" w:cs="Times New Roman"/>
          <w:sz w:val="28"/>
          <w:szCs w:val="28"/>
        </w:rPr>
        <w:t>NS</w:t>
      </w:r>
      <w:r w:rsidRPr="009B2080">
        <w:rPr>
          <w:rFonts w:ascii="Times New Roman" w:hAnsi="Times New Roman" w:cs="Times New Roman"/>
          <w:sz w:val="28"/>
          <w:szCs w:val="28"/>
        </w:rPr>
        <w:t xml:space="preserve"> that build resilience through preparedness and organizational development. This diverse range of projects included climate adaptation, livelihoods program</w:t>
      </w:r>
      <w:r w:rsidR="00573654" w:rsidRPr="009B2080">
        <w:rPr>
          <w:rFonts w:ascii="Times New Roman" w:hAnsi="Times New Roman" w:cs="Times New Roman"/>
          <w:sz w:val="28"/>
          <w:szCs w:val="28"/>
        </w:rPr>
        <w:t>me</w:t>
      </w:r>
      <w:r w:rsidRPr="009B2080">
        <w:rPr>
          <w:rFonts w:ascii="Times New Roman" w:hAnsi="Times New Roman" w:cs="Times New Roman"/>
          <w:sz w:val="28"/>
          <w:szCs w:val="28"/>
        </w:rPr>
        <w:t xml:space="preserve">s, pre-positioning of stocks, training of staff and volunteers and many other interventions informed by </w:t>
      </w:r>
      <w:r w:rsidR="00573654" w:rsidRPr="009B2080">
        <w:rPr>
          <w:rFonts w:ascii="Times New Roman" w:hAnsi="Times New Roman" w:cs="Times New Roman"/>
          <w:sz w:val="28"/>
          <w:szCs w:val="28"/>
        </w:rPr>
        <w:t>Field Assessment Coordination Teams (</w:t>
      </w:r>
      <w:r w:rsidRPr="009B2080">
        <w:rPr>
          <w:rFonts w:ascii="Times New Roman" w:hAnsi="Times New Roman" w:cs="Times New Roman"/>
          <w:sz w:val="28"/>
          <w:szCs w:val="28"/>
        </w:rPr>
        <w:t>FACT</w:t>
      </w:r>
      <w:r w:rsidR="00573654" w:rsidRPr="009B2080">
        <w:rPr>
          <w:rFonts w:ascii="Times New Roman" w:hAnsi="Times New Roman" w:cs="Times New Roman"/>
          <w:sz w:val="28"/>
          <w:szCs w:val="28"/>
        </w:rPr>
        <w:t>)</w:t>
      </w:r>
      <w:r w:rsidRPr="009B2080">
        <w:rPr>
          <w:rFonts w:ascii="Times New Roman" w:hAnsi="Times New Roman" w:cs="Times New Roman"/>
          <w:sz w:val="28"/>
          <w:szCs w:val="28"/>
        </w:rPr>
        <w:t xml:space="preserve"> missions, Vulnerability and Capacity Assessments, Movement consultation, </w:t>
      </w:r>
      <w:r w:rsidR="00EC0A6C" w:rsidRPr="009B2080">
        <w:rPr>
          <w:rFonts w:ascii="Times New Roman" w:hAnsi="Times New Roman" w:cs="Times New Roman"/>
          <w:sz w:val="28"/>
          <w:szCs w:val="28"/>
        </w:rPr>
        <w:t>NS</w:t>
      </w:r>
      <w:r w:rsidRPr="009B2080">
        <w:rPr>
          <w:rFonts w:ascii="Times New Roman" w:hAnsi="Times New Roman" w:cs="Times New Roman"/>
          <w:sz w:val="28"/>
          <w:szCs w:val="28"/>
        </w:rPr>
        <w:t xml:space="preserve"> demands and disaster trends. </w:t>
      </w:r>
    </w:p>
    <w:p w14:paraId="2260357D" w14:textId="77777777" w:rsidR="006F602A" w:rsidRPr="009B2080" w:rsidRDefault="006F602A" w:rsidP="009B2080">
      <w:pPr>
        <w:shd w:val="clear" w:color="auto" w:fill="FFFFFF" w:themeFill="background1"/>
        <w:spacing w:after="0" w:line="240" w:lineRule="auto"/>
        <w:jc w:val="both"/>
        <w:rPr>
          <w:rFonts w:ascii="Times New Roman" w:hAnsi="Times New Roman" w:cs="Times New Roman"/>
          <w:sz w:val="28"/>
          <w:szCs w:val="28"/>
        </w:rPr>
      </w:pPr>
    </w:p>
    <w:p w14:paraId="5FF0B7FA" w14:textId="77777777" w:rsidR="00C011EC" w:rsidRPr="009B2080" w:rsidRDefault="00B211EF" w:rsidP="009B2080">
      <w:pPr>
        <w:pBdr>
          <w:bottom w:val="single" w:sz="4" w:space="1" w:color="auto"/>
        </w:pBd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 xml:space="preserve">MILESTONE PROGRESS </w:t>
      </w:r>
    </w:p>
    <w:p w14:paraId="30CEDB2C" w14:textId="0080275E" w:rsidR="00AC48F7" w:rsidRPr="009B2080" w:rsidRDefault="00AC48F7" w:rsidP="009B2080">
      <w:pPr>
        <w:spacing w:after="0" w:line="240" w:lineRule="auto"/>
        <w:jc w:val="both"/>
        <w:rPr>
          <w:rFonts w:ascii="Times New Roman" w:hAnsi="Times New Roman" w:cs="Times New Roman"/>
          <w:bCs/>
          <w:sz w:val="28"/>
          <w:szCs w:val="28"/>
        </w:rPr>
      </w:pPr>
      <w:r w:rsidRPr="009B2080">
        <w:rPr>
          <w:rFonts w:ascii="Times New Roman" w:hAnsi="Times New Roman" w:cs="Times New Roman"/>
          <w:bCs/>
          <w:sz w:val="28"/>
          <w:szCs w:val="28"/>
        </w:rPr>
        <w:t>The IFRC senior management team in Africa has assessed progress against 100</w:t>
      </w:r>
      <w:r w:rsidR="005D3B11" w:rsidRPr="009B2080">
        <w:rPr>
          <w:rFonts w:ascii="Times New Roman" w:hAnsi="Times New Roman" w:cs="Times New Roman"/>
          <w:bCs/>
          <w:sz w:val="28"/>
          <w:szCs w:val="28"/>
        </w:rPr>
        <w:t xml:space="preserve"> per cent </w:t>
      </w:r>
      <w:r w:rsidRPr="009B2080">
        <w:rPr>
          <w:rFonts w:ascii="Times New Roman" w:hAnsi="Times New Roman" w:cs="Times New Roman"/>
          <w:bCs/>
          <w:sz w:val="28"/>
          <w:szCs w:val="28"/>
        </w:rPr>
        <w:t>of the 2017 milestones. Attached is an annex that specifi</w:t>
      </w:r>
      <w:r w:rsidR="006F602A" w:rsidRPr="009B2080">
        <w:rPr>
          <w:rFonts w:ascii="Times New Roman" w:hAnsi="Times New Roman" w:cs="Times New Roman"/>
          <w:bCs/>
          <w:sz w:val="28"/>
          <w:szCs w:val="28"/>
        </w:rPr>
        <w:t>es</w:t>
      </w:r>
      <w:r w:rsidRPr="009B2080">
        <w:rPr>
          <w:rFonts w:ascii="Times New Roman" w:hAnsi="Times New Roman" w:cs="Times New Roman"/>
          <w:bCs/>
          <w:sz w:val="28"/>
          <w:szCs w:val="28"/>
        </w:rPr>
        <w:t xml:space="preserve"> activities </w:t>
      </w:r>
      <w:r w:rsidR="006F602A" w:rsidRPr="009B2080">
        <w:rPr>
          <w:rFonts w:ascii="Times New Roman" w:hAnsi="Times New Roman" w:cs="Times New Roman"/>
          <w:bCs/>
          <w:sz w:val="28"/>
          <w:szCs w:val="28"/>
        </w:rPr>
        <w:t xml:space="preserve">and </w:t>
      </w:r>
      <w:r w:rsidRPr="009B2080">
        <w:rPr>
          <w:rFonts w:ascii="Times New Roman" w:hAnsi="Times New Roman" w:cs="Times New Roman"/>
          <w:bCs/>
          <w:sz w:val="28"/>
          <w:szCs w:val="28"/>
        </w:rPr>
        <w:t>results</w:t>
      </w:r>
      <w:r w:rsidR="006F602A" w:rsidRPr="009B2080">
        <w:rPr>
          <w:rFonts w:ascii="Times New Roman" w:hAnsi="Times New Roman" w:cs="Times New Roman"/>
          <w:bCs/>
          <w:sz w:val="28"/>
          <w:szCs w:val="28"/>
        </w:rPr>
        <w:t xml:space="preserve"> that </w:t>
      </w:r>
      <w:r w:rsidRPr="009B2080">
        <w:rPr>
          <w:rFonts w:ascii="Times New Roman" w:hAnsi="Times New Roman" w:cs="Times New Roman"/>
          <w:bCs/>
          <w:sz w:val="28"/>
          <w:szCs w:val="28"/>
        </w:rPr>
        <w:t xml:space="preserve">justify </w:t>
      </w:r>
      <w:r w:rsidR="006F602A" w:rsidRPr="009B2080">
        <w:rPr>
          <w:rFonts w:ascii="Times New Roman" w:hAnsi="Times New Roman" w:cs="Times New Roman"/>
          <w:bCs/>
          <w:sz w:val="28"/>
          <w:szCs w:val="28"/>
        </w:rPr>
        <w:t xml:space="preserve">a progress </w:t>
      </w:r>
      <w:r w:rsidRPr="009B2080">
        <w:rPr>
          <w:rFonts w:ascii="Times New Roman" w:hAnsi="Times New Roman" w:cs="Times New Roman"/>
          <w:bCs/>
          <w:sz w:val="28"/>
          <w:szCs w:val="28"/>
        </w:rPr>
        <w:t>rating, as well as corrective action to improve progress. Below is a summary of progress against each area of focus and strategy for implementation.</w:t>
      </w:r>
    </w:p>
    <w:p w14:paraId="0ABAE94D" w14:textId="77777777" w:rsidR="00E7358A" w:rsidRPr="009B2080" w:rsidRDefault="00E7358A" w:rsidP="009B2080">
      <w:pPr>
        <w:spacing w:after="0" w:line="240" w:lineRule="auto"/>
        <w:jc w:val="both"/>
        <w:rPr>
          <w:rFonts w:ascii="Times New Roman" w:hAnsi="Times New Roman" w:cs="Times New Roman"/>
          <w:bCs/>
          <w:sz w:val="28"/>
          <w:szCs w:val="28"/>
        </w:rPr>
      </w:pPr>
    </w:p>
    <w:p w14:paraId="092E127C" w14:textId="77777777" w:rsidR="005D3B11" w:rsidRPr="009B2080" w:rsidRDefault="005D3B11" w:rsidP="009B2080">
      <w:pPr>
        <w:spacing w:after="0" w:line="240" w:lineRule="auto"/>
        <w:jc w:val="both"/>
        <w:rPr>
          <w:rFonts w:ascii="Times New Roman" w:hAnsi="Times New Roman" w:cs="Times New Roman"/>
          <w:b/>
          <w:sz w:val="28"/>
          <w:szCs w:val="28"/>
        </w:rPr>
      </w:pPr>
    </w:p>
    <w:p w14:paraId="41BB03CF" w14:textId="77777777" w:rsidR="005D3B11" w:rsidRPr="009B2080" w:rsidRDefault="005D3B11" w:rsidP="009B2080">
      <w:pPr>
        <w:spacing w:after="0" w:line="240" w:lineRule="auto"/>
        <w:jc w:val="both"/>
        <w:rPr>
          <w:rFonts w:ascii="Times New Roman" w:hAnsi="Times New Roman" w:cs="Times New Roman"/>
          <w:b/>
          <w:sz w:val="28"/>
          <w:szCs w:val="28"/>
        </w:rPr>
      </w:pPr>
    </w:p>
    <w:p w14:paraId="64A96BE2" w14:textId="77777777" w:rsidR="005D3B11" w:rsidRPr="009B2080" w:rsidRDefault="005D3B11" w:rsidP="009B2080">
      <w:pPr>
        <w:spacing w:after="0" w:line="240" w:lineRule="auto"/>
        <w:jc w:val="both"/>
        <w:rPr>
          <w:rFonts w:ascii="Times New Roman" w:hAnsi="Times New Roman" w:cs="Times New Roman"/>
          <w:b/>
          <w:sz w:val="28"/>
          <w:szCs w:val="28"/>
        </w:rPr>
      </w:pPr>
    </w:p>
    <w:p w14:paraId="60879CFB" w14:textId="77777777" w:rsidR="005D3B11" w:rsidRPr="009B2080" w:rsidRDefault="005D3B11" w:rsidP="009B2080">
      <w:pPr>
        <w:spacing w:after="0" w:line="240" w:lineRule="auto"/>
        <w:jc w:val="both"/>
        <w:rPr>
          <w:rFonts w:ascii="Times New Roman" w:hAnsi="Times New Roman" w:cs="Times New Roman"/>
          <w:b/>
          <w:sz w:val="28"/>
          <w:szCs w:val="28"/>
        </w:rPr>
      </w:pPr>
    </w:p>
    <w:p w14:paraId="4BFC51F0" w14:textId="32031018" w:rsidR="005D3B11" w:rsidRPr="009B2080" w:rsidRDefault="005D3B11" w:rsidP="009B2080">
      <w:pPr>
        <w:spacing w:after="0" w:line="240" w:lineRule="auto"/>
        <w:jc w:val="both"/>
        <w:rPr>
          <w:rFonts w:ascii="Times New Roman" w:hAnsi="Times New Roman" w:cs="Times New Roman"/>
          <w:b/>
          <w:sz w:val="28"/>
          <w:szCs w:val="28"/>
        </w:rPr>
      </w:pPr>
    </w:p>
    <w:p w14:paraId="3A8D487A" w14:textId="59224F67" w:rsidR="00781B65" w:rsidRPr="009B2080" w:rsidRDefault="00781B65" w:rsidP="009B2080">
      <w:pPr>
        <w:spacing w:after="0" w:line="240" w:lineRule="auto"/>
        <w:jc w:val="both"/>
        <w:rPr>
          <w:rFonts w:ascii="Times New Roman" w:hAnsi="Times New Roman" w:cs="Times New Roman"/>
          <w:b/>
          <w:sz w:val="28"/>
          <w:szCs w:val="28"/>
        </w:rPr>
      </w:pPr>
    </w:p>
    <w:p w14:paraId="144D0F84" w14:textId="6B590069" w:rsidR="00781B65" w:rsidRPr="009B2080" w:rsidRDefault="00781B65" w:rsidP="009B2080">
      <w:pPr>
        <w:spacing w:after="0" w:line="240" w:lineRule="auto"/>
        <w:jc w:val="both"/>
        <w:rPr>
          <w:rFonts w:ascii="Times New Roman" w:hAnsi="Times New Roman" w:cs="Times New Roman"/>
          <w:b/>
          <w:sz w:val="28"/>
          <w:szCs w:val="28"/>
        </w:rPr>
      </w:pPr>
    </w:p>
    <w:p w14:paraId="5071A498" w14:textId="32C43D27" w:rsidR="00781B65" w:rsidRPr="009B2080" w:rsidRDefault="00781B65" w:rsidP="009B2080">
      <w:pPr>
        <w:spacing w:after="0" w:line="240" w:lineRule="auto"/>
        <w:jc w:val="both"/>
        <w:rPr>
          <w:rFonts w:ascii="Times New Roman" w:hAnsi="Times New Roman" w:cs="Times New Roman"/>
          <w:b/>
          <w:sz w:val="28"/>
          <w:szCs w:val="28"/>
        </w:rPr>
      </w:pPr>
    </w:p>
    <w:p w14:paraId="2D6AC428" w14:textId="73F3F4D7" w:rsidR="00781B65" w:rsidRPr="009B2080" w:rsidRDefault="00781B65" w:rsidP="009B2080">
      <w:pPr>
        <w:spacing w:after="0" w:line="240" w:lineRule="auto"/>
        <w:jc w:val="both"/>
        <w:rPr>
          <w:rFonts w:ascii="Times New Roman" w:hAnsi="Times New Roman" w:cs="Times New Roman"/>
          <w:b/>
          <w:sz w:val="28"/>
          <w:szCs w:val="28"/>
        </w:rPr>
      </w:pPr>
    </w:p>
    <w:p w14:paraId="7104D2CA" w14:textId="611784CB" w:rsidR="00781B65" w:rsidRPr="009B2080" w:rsidRDefault="00781B65" w:rsidP="009B2080">
      <w:pPr>
        <w:spacing w:after="0" w:line="240" w:lineRule="auto"/>
        <w:jc w:val="both"/>
        <w:rPr>
          <w:rFonts w:ascii="Times New Roman" w:hAnsi="Times New Roman" w:cs="Times New Roman"/>
          <w:b/>
          <w:sz w:val="28"/>
          <w:szCs w:val="28"/>
        </w:rPr>
      </w:pPr>
    </w:p>
    <w:p w14:paraId="5E4E51DC" w14:textId="7DA75742" w:rsidR="00781B65" w:rsidRPr="009B2080" w:rsidRDefault="00781B65" w:rsidP="009B2080">
      <w:pPr>
        <w:spacing w:after="0" w:line="240" w:lineRule="auto"/>
        <w:jc w:val="both"/>
        <w:rPr>
          <w:rFonts w:ascii="Times New Roman" w:hAnsi="Times New Roman" w:cs="Times New Roman"/>
          <w:b/>
          <w:sz w:val="28"/>
          <w:szCs w:val="28"/>
        </w:rPr>
      </w:pPr>
    </w:p>
    <w:p w14:paraId="17CB863A" w14:textId="75E90D4C" w:rsidR="00781B65" w:rsidRPr="009B2080" w:rsidRDefault="00781B65" w:rsidP="009B2080">
      <w:pPr>
        <w:spacing w:after="0" w:line="240" w:lineRule="auto"/>
        <w:jc w:val="both"/>
        <w:rPr>
          <w:rFonts w:ascii="Times New Roman" w:hAnsi="Times New Roman" w:cs="Times New Roman"/>
          <w:b/>
          <w:sz w:val="28"/>
          <w:szCs w:val="28"/>
        </w:rPr>
      </w:pPr>
    </w:p>
    <w:p w14:paraId="08B01F96" w14:textId="77777777" w:rsidR="00781B65" w:rsidRPr="009B2080" w:rsidRDefault="00781B65" w:rsidP="009B2080">
      <w:pPr>
        <w:spacing w:after="0" w:line="240" w:lineRule="auto"/>
        <w:jc w:val="both"/>
        <w:rPr>
          <w:rFonts w:ascii="Times New Roman" w:hAnsi="Times New Roman" w:cs="Times New Roman"/>
          <w:b/>
          <w:sz w:val="28"/>
          <w:szCs w:val="28"/>
        </w:rPr>
      </w:pPr>
    </w:p>
    <w:p w14:paraId="1CFA2A39" w14:textId="77777777" w:rsidR="005D3B11" w:rsidRPr="009B2080" w:rsidRDefault="005D3B11" w:rsidP="009B2080">
      <w:pPr>
        <w:spacing w:after="0" w:line="240" w:lineRule="auto"/>
        <w:jc w:val="both"/>
        <w:rPr>
          <w:rFonts w:ascii="Times New Roman" w:hAnsi="Times New Roman" w:cs="Times New Roman"/>
          <w:b/>
          <w:sz w:val="28"/>
          <w:szCs w:val="28"/>
        </w:rPr>
      </w:pPr>
    </w:p>
    <w:p w14:paraId="62B3E27E" w14:textId="77777777" w:rsidR="005D3B11" w:rsidRPr="009B2080" w:rsidRDefault="005D3B11" w:rsidP="009B2080">
      <w:pPr>
        <w:spacing w:after="0" w:line="240" w:lineRule="auto"/>
        <w:jc w:val="both"/>
        <w:rPr>
          <w:rFonts w:ascii="Times New Roman" w:hAnsi="Times New Roman" w:cs="Times New Roman"/>
          <w:b/>
          <w:sz w:val="28"/>
          <w:szCs w:val="28"/>
        </w:rPr>
      </w:pPr>
    </w:p>
    <w:p w14:paraId="178F0DAF" w14:textId="77777777" w:rsidR="005D3B11" w:rsidRPr="009B2080" w:rsidRDefault="005D3B11" w:rsidP="009B2080">
      <w:pPr>
        <w:spacing w:after="0" w:line="240" w:lineRule="auto"/>
        <w:jc w:val="both"/>
        <w:rPr>
          <w:rFonts w:ascii="Times New Roman" w:hAnsi="Times New Roman" w:cs="Times New Roman"/>
          <w:b/>
          <w:sz w:val="28"/>
          <w:szCs w:val="28"/>
        </w:rPr>
      </w:pPr>
    </w:p>
    <w:p w14:paraId="0E483287" w14:textId="77777777" w:rsidR="005D3B11" w:rsidRPr="009B2080" w:rsidRDefault="005D3B11" w:rsidP="009B2080">
      <w:pPr>
        <w:spacing w:after="0" w:line="240" w:lineRule="auto"/>
        <w:jc w:val="both"/>
        <w:rPr>
          <w:rFonts w:ascii="Times New Roman" w:hAnsi="Times New Roman" w:cs="Times New Roman"/>
          <w:b/>
          <w:sz w:val="28"/>
          <w:szCs w:val="28"/>
        </w:rPr>
      </w:pPr>
    </w:p>
    <w:p w14:paraId="3F94D8EF" w14:textId="081133B1" w:rsidR="00AC48F7" w:rsidRPr="009B2080" w:rsidRDefault="00AC48F7"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AREAS OF FOCUS</w:t>
      </w:r>
      <w:r w:rsidR="00781B65" w:rsidRPr="009B2080">
        <w:rPr>
          <w:rFonts w:ascii="Times New Roman" w:hAnsi="Times New Roman" w:cs="Times New Roman"/>
          <w:b/>
          <w:sz w:val="28"/>
          <w:szCs w:val="28"/>
        </w:rPr>
        <w:t xml:space="preserve"> (AOF)</w:t>
      </w:r>
    </w:p>
    <w:p w14:paraId="4C5317E0" w14:textId="77777777" w:rsidR="00234632" w:rsidRPr="009B2080" w:rsidRDefault="00234632" w:rsidP="009B2080">
      <w:pPr>
        <w:spacing w:after="0" w:line="240" w:lineRule="auto"/>
        <w:jc w:val="both"/>
        <w:rPr>
          <w:rFonts w:ascii="Times New Roman" w:hAnsi="Times New Roman" w:cs="Times New Roman"/>
          <w:b/>
          <w:sz w:val="28"/>
          <w:szCs w:val="28"/>
        </w:rPr>
      </w:pPr>
    </w:p>
    <w:p w14:paraId="2AC7B80E" w14:textId="3BB5D183" w:rsidR="00AC48F7" w:rsidRPr="009B2080" w:rsidRDefault="00A12F25" w:rsidP="009B2080">
      <w:pPr>
        <w:jc w:val="both"/>
        <w:rPr>
          <w:rFonts w:ascii="Times New Roman" w:hAnsi="Times New Roman" w:cs="Times New Roman"/>
          <w:b/>
          <w:sz w:val="28"/>
          <w:szCs w:val="28"/>
        </w:rPr>
      </w:pPr>
      <w:r w:rsidRPr="009B2080">
        <w:rPr>
          <w:rFonts w:ascii="Times New Roman" w:hAnsi="Times New Roman" w:cs="Times New Roman"/>
          <w:noProof/>
          <w:sz w:val="28"/>
          <w:szCs w:val="28"/>
        </w:rPr>
        <w:drawing>
          <wp:inline distT="0" distB="0" distL="0" distR="0" wp14:anchorId="727A37C5" wp14:editId="55BA639F">
            <wp:extent cx="5731510" cy="3336290"/>
            <wp:effectExtent l="0" t="0" r="2540" b="0"/>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ECB618" w14:textId="69E76817" w:rsidR="00AC48F7" w:rsidRPr="009B2080" w:rsidRDefault="00AC48F7" w:rsidP="009B2080">
      <w:pPr>
        <w:spacing w:after="0" w:line="240" w:lineRule="auto"/>
        <w:jc w:val="both"/>
        <w:rPr>
          <w:rFonts w:ascii="Times New Roman" w:hAnsi="Times New Roman" w:cs="Times New Roman"/>
          <w:b/>
          <w:sz w:val="28"/>
          <w:szCs w:val="28"/>
        </w:rPr>
      </w:pPr>
    </w:p>
    <w:p w14:paraId="6D912A5F" w14:textId="75136D8D" w:rsidR="00184071" w:rsidRPr="009B2080" w:rsidRDefault="00184071" w:rsidP="009B2080">
      <w:pPr>
        <w:spacing w:after="0" w:line="240" w:lineRule="auto"/>
        <w:jc w:val="both"/>
        <w:rPr>
          <w:rFonts w:ascii="Times New Roman" w:hAnsi="Times New Roman" w:cs="Times New Roman"/>
          <w:b/>
          <w:sz w:val="28"/>
          <w:szCs w:val="28"/>
        </w:rPr>
      </w:pPr>
    </w:p>
    <w:p w14:paraId="055EC1EC" w14:textId="77777777" w:rsidR="00184071" w:rsidRPr="009B2080" w:rsidRDefault="00184071" w:rsidP="009B2080">
      <w:pPr>
        <w:spacing w:after="0" w:line="240" w:lineRule="auto"/>
        <w:jc w:val="both"/>
        <w:rPr>
          <w:rFonts w:ascii="Times New Roman" w:hAnsi="Times New Roman" w:cs="Times New Roman"/>
          <w:b/>
          <w:sz w:val="28"/>
          <w:szCs w:val="28"/>
        </w:rPr>
      </w:pPr>
    </w:p>
    <w:p w14:paraId="76129BB8" w14:textId="77777777" w:rsidR="00C011EC" w:rsidRPr="009B2080" w:rsidRDefault="00C011EC"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 xml:space="preserve">AOF </w:t>
      </w:r>
      <w:r w:rsidR="00597C99" w:rsidRPr="009B2080">
        <w:rPr>
          <w:rFonts w:ascii="Times New Roman" w:hAnsi="Times New Roman" w:cs="Times New Roman"/>
          <w:b/>
          <w:sz w:val="28"/>
          <w:szCs w:val="28"/>
        </w:rPr>
        <w:t>1: DISASTER RISK REDUCTION</w:t>
      </w:r>
    </w:p>
    <w:p w14:paraId="42ECDC5A" w14:textId="77777777" w:rsidR="00816C66" w:rsidRPr="009B2080" w:rsidRDefault="00816C66" w:rsidP="009B2080">
      <w:pPr>
        <w:spacing w:after="0" w:line="240" w:lineRule="auto"/>
        <w:jc w:val="both"/>
        <w:rPr>
          <w:rFonts w:ascii="Times New Roman" w:hAnsi="Times New Roman" w:cs="Times New Roman"/>
          <w:sz w:val="28"/>
          <w:szCs w:val="28"/>
        </w:rPr>
      </w:pPr>
    </w:p>
    <w:p w14:paraId="59E4A2A4" w14:textId="1FFE99FC" w:rsidR="005D3B11" w:rsidRPr="009B2080" w:rsidRDefault="0001497F"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Disaster risk reduction had a score rating of </w:t>
      </w:r>
      <w:r w:rsidR="00DE1776" w:rsidRPr="009B2080">
        <w:rPr>
          <w:rFonts w:ascii="Times New Roman" w:hAnsi="Times New Roman" w:cs="Times New Roman"/>
          <w:sz w:val="28"/>
          <w:szCs w:val="28"/>
        </w:rPr>
        <w:t>2.7</w:t>
      </w:r>
      <w:r w:rsidRPr="009B2080">
        <w:rPr>
          <w:rFonts w:ascii="Times New Roman" w:hAnsi="Times New Roman" w:cs="Times New Roman"/>
          <w:sz w:val="28"/>
          <w:szCs w:val="28"/>
        </w:rPr>
        <w:t xml:space="preserve"> out of possible 5 which is a good progress against the stated target. Some of the key milestones</w:t>
      </w:r>
      <w:r w:rsidR="00332B9E" w:rsidRPr="009B2080">
        <w:rPr>
          <w:rFonts w:ascii="Times New Roman" w:hAnsi="Times New Roman" w:cs="Times New Roman"/>
          <w:sz w:val="28"/>
          <w:szCs w:val="28"/>
        </w:rPr>
        <w:t xml:space="preserve"> reviewed </w:t>
      </w:r>
      <w:r w:rsidR="005C412C" w:rsidRPr="009B2080">
        <w:rPr>
          <w:rFonts w:ascii="Times New Roman" w:hAnsi="Times New Roman" w:cs="Times New Roman"/>
          <w:sz w:val="28"/>
          <w:szCs w:val="28"/>
        </w:rPr>
        <w:t>included:</w:t>
      </w:r>
    </w:p>
    <w:p w14:paraId="487E71D0" w14:textId="77777777" w:rsidR="005D3B11" w:rsidRPr="009B2080" w:rsidRDefault="005D3B11" w:rsidP="009B2080">
      <w:pPr>
        <w:spacing w:after="0" w:line="240" w:lineRule="auto"/>
        <w:jc w:val="both"/>
        <w:rPr>
          <w:rFonts w:ascii="Times New Roman" w:hAnsi="Times New Roman" w:cs="Times New Roman"/>
          <w:sz w:val="28"/>
          <w:szCs w:val="28"/>
        </w:rPr>
      </w:pPr>
    </w:p>
    <w:p w14:paraId="30951625" w14:textId="77777777" w:rsidR="005D3B11" w:rsidRPr="009B2080" w:rsidRDefault="0001497F" w:rsidP="009B2080">
      <w:pPr>
        <w:pStyle w:val="ListParagraph"/>
        <w:numPr>
          <w:ilvl w:val="0"/>
          <w:numId w:val="7"/>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Establishment of shared leadership group</w:t>
      </w:r>
      <w:r w:rsidR="001F58D0" w:rsidRPr="009B2080">
        <w:rPr>
          <w:rFonts w:ascii="Times New Roman" w:hAnsi="Times New Roman" w:cs="Times New Roman"/>
          <w:sz w:val="28"/>
          <w:szCs w:val="28"/>
        </w:rPr>
        <w:t xml:space="preserve"> for cyclical disasters</w:t>
      </w:r>
      <w:r w:rsidR="003E11EB" w:rsidRPr="009B2080">
        <w:rPr>
          <w:rFonts w:ascii="Times New Roman" w:hAnsi="Times New Roman" w:cs="Times New Roman"/>
          <w:sz w:val="28"/>
          <w:szCs w:val="28"/>
        </w:rPr>
        <w:t xml:space="preserve"> in Southern</w:t>
      </w:r>
      <w:r w:rsidR="001F58D0" w:rsidRPr="009B2080">
        <w:rPr>
          <w:rFonts w:ascii="Times New Roman" w:hAnsi="Times New Roman" w:cs="Times New Roman"/>
          <w:sz w:val="28"/>
          <w:szCs w:val="28"/>
        </w:rPr>
        <w:t xml:space="preserve"> Africa</w:t>
      </w:r>
      <w:r w:rsidRPr="009B2080">
        <w:rPr>
          <w:rFonts w:ascii="Times New Roman" w:hAnsi="Times New Roman" w:cs="Times New Roman"/>
          <w:sz w:val="28"/>
          <w:szCs w:val="28"/>
        </w:rPr>
        <w:t xml:space="preserve">, </w:t>
      </w:r>
    </w:p>
    <w:p w14:paraId="4B55BB3C" w14:textId="41353141" w:rsidR="005D3B11" w:rsidRPr="009B2080" w:rsidRDefault="0001497F" w:rsidP="009B2080">
      <w:pPr>
        <w:pStyle w:val="ListParagraph"/>
        <w:numPr>
          <w:ilvl w:val="0"/>
          <w:numId w:val="7"/>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Regional</w:t>
      </w:r>
      <w:r w:rsidR="0009522A" w:rsidRPr="009B2080">
        <w:rPr>
          <w:rFonts w:ascii="Times New Roman" w:hAnsi="Times New Roman" w:cs="Times New Roman"/>
          <w:sz w:val="28"/>
          <w:szCs w:val="28"/>
        </w:rPr>
        <w:t xml:space="preserve"> Disaster Risk Reduction (</w:t>
      </w:r>
      <w:r w:rsidRPr="009B2080">
        <w:rPr>
          <w:rFonts w:ascii="Times New Roman" w:hAnsi="Times New Roman" w:cs="Times New Roman"/>
          <w:sz w:val="28"/>
          <w:szCs w:val="28"/>
        </w:rPr>
        <w:t>DRR</w:t>
      </w:r>
      <w:r w:rsidR="0009522A" w:rsidRPr="009B2080">
        <w:rPr>
          <w:rFonts w:ascii="Times New Roman" w:hAnsi="Times New Roman" w:cs="Times New Roman"/>
          <w:sz w:val="28"/>
          <w:szCs w:val="28"/>
        </w:rPr>
        <w:t>)</w:t>
      </w:r>
      <w:r w:rsidRPr="009B2080">
        <w:rPr>
          <w:rFonts w:ascii="Times New Roman" w:hAnsi="Times New Roman" w:cs="Times New Roman"/>
          <w:sz w:val="28"/>
          <w:szCs w:val="28"/>
        </w:rPr>
        <w:t xml:space="preserve"> strategy to support green solutions, </w:t>
      </w:r>
    </w:p>
    <w:p w14:paraId="26320ED4" w14:textId="77777777" w:rsidR="005D3B11" w:rsidRPr="009B2080" w:rsidRDefault="0001497F" w:rsidP="009B2080">
      <w:pPr>
        <w:pStyle w:val="ListParagraph"/>
        <w:numPr>
          <w:ilvl w:val="0"/>
          <w:numId w:val="7"/>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Establishment of national coalitions comprising of private business, public and NGOs, </w:t>
      </w:r>
    </w:p>
    <w:p w14:paraId="78E7D083" w14:textId="119CA34F" w:rsidR="005D3B11" w:rsidRPr="009B2080" w:rsidRDefault="0001497F" w:rsidP="009B2080">
      <w:pPr>
        <w:pStyle w:val="ListParagraph"/>
        <w:numPr>
          <w:ilvl w:val="0"/>
          <w:numId w:val="7"/>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Integration of </w:t>
      </w:r>
      <w:r w:rsidR="00701661" w:rsidRPr="009B2080">
        <w:rPr>
          <w:rFonts w:ascii="Times New Roman" w:hAnsi="Times New Roman" w:cs="Times New Roman"/>
          <w:sz w:val="28"/>
          <w:szCs w:val="28"/>
        </w:rPr>
        <w:t>the “One Billion Coalition for Resilience” (</w:t>
      </w:r>
      <w:r w:rsidRPr="009B2080">
        <w:rPr>
          <w:rFonts w:ascii="Times New Roman" w:hAnsi="Times New Roman" w:cs="Times New Roman"/>
          <w:sz w:val="28"/>
          <w:szCs w:val="28"/>
        </w:rPr>
        <w:t>1</w:t>
      </w:r>
      <w:r w:rsidR="00701661" w:rsidRPr="009B2080">
        <w:rPr>
          <w:rFonts w:ascii="Times New Roman" w:hAnsi="Times New Roman" w:cs="Times New Roman"/>
          <w:sz w:val="28"/>
          <w:szCs w:val="28"/>
        </w:rPr>
        <w:t xml:space="preserve"> </w:t>
      </w:r>
      <w:r w:rsidRPr="009B2080">
        <w:rPr>
          <w:rFonts w:ascii="Times New Roman" w:hAnsi="Times New Roman" w:cs="Times New Roman"/>
          <w:sz w:val="28"/>
          <w:szCs w:val="28"/>
        </w:rPr>
        <w:t>BC</w:t>
      </w:r>
      <w:r w:rsidR="00701661" w:rsidRPr="009B2080">
        <w:rPr>
          <w:rFonts w:ascii="Times New Roman" w:hAnsi="Times New Roman" w:cs="Times New Roman"/>
          <w:sz w:val="28"/>
          <w:szCs w:val="28"/>
        </w:rPr>
        <w:t>)</w:t>
      </w:r>
      <w:r w:rsidRPr="009B2080">
        <w:rPr>
          <w:rFonts w:ascii="Times New Roman" w:hAnsi="Times New Roman" w:cs="Times New Roman"/>
          <w:sz w:val="28"/>
          <w:szCs w:val="28"/>
        </w:rPr>
        <w:t xml:space="preserve"> in the regional, country and cluster plans</w:t>
      </w:r>
      <w:r w:rsidR="00701661" w:rsidRPr="009B2080">
        <w:rPr>
          <w:rFonts w:ascii="Times New Roman" w:hAnsi="Times New Roman" w:cs="Times New Roman"/>
          <w:sz w:val="28"/>
          <w:szCs w:val="28"/>
        </w:rPr>
        <w:t>.</w:t>
      </w:r>
    </w:p>
    <w:p w14:paraId="7B17883E" w14:textId="77777777" w:rsidR="00701661" w:rsidRPr="009B2080" w:rsidRDefault="00701661" w:rsidP="009B2080">
      <w:pPr>
        <w:pStyle w:val="ListParagraph"/>
        <w:spacing w:after="0" w:line="240" w:lineRule="auto"/>
        <w:jc w:val="both"/>
        <w:rPr>
          <w:rFonts w:ascii="Times New Roman" w:hAnsi="Times New Roman" w:cs="Times New Roman"/>
          <w:sz w:val="28"/>
          <w:szCs w:val="28"/>
        </w:rPr>
      </w:pPr>
    </w:p>
    <w:p w14:paraId="13CE41F0" w14:textId="5949629F" w:rsidR="0059687D" w:rsidRPr="009B2080" w:rsidRDefault="0001497F" w:rsidP="009B2080">
      <w:pPr>
        <w:pStyle w:val="ListParagraph"/>
        <w:spacing w:after="0" w:line="240" w:lineRule="auto"/>
        <w:ind w:left="0"/>
        <w:jc w:val="both"/>
        <w:rPr>
          <w:rFonts w:ascii="Times New Roman" w:hAnsi="Times New Roman" w:cs="Times New Roman"/>
          <w:sz w:val="28"/>
          <w:szCs w:val="28"/>
        </w:rPr>
      </w:pPr>
      <w:r w:rsidRPr="009B2080">
        <w:rPr>
          <w:rFonts w:ascii="Times New Roman" w:hAnsi="Times New Roman" w:cs="Times New Roman"/>
          <w:sz w:val="28"/>
          <w:szCs w:val="28"/>
        </w:rPr>
        <w:t xml:space="preserve">Significant progress has been observed in the year 2017 and which will form a very good foundation for the current year. In terms of shared leadership group, </w:t>
      </w:r>
      <w:r w:rsidR="00701661" w:rsidRPr="009B2080">
        <w:rPr>
          <w:rFonts w:ascii="Times New Roman" w:hAnsi="Times New Roman" w:cs="Times New Roman"/>
          <w:sz w:val="28"/>
          <w:szCs w:val="28"/>
        </w:rPr>
        <w:t>“African Disaster Management Working Group” (</w:t>
      </w:r>
      <w:r w:rsidRPr="009B2080">
        <w:rPr>
          <w:rFonts w:ascii="Times New Roman" w:hAnsi="Times New Roman" w:cs="Times New Roman"/>
          <w:sz w:val="28"/>
          <w:szCs w:val="28"/>
        </w:rPr>
        <w:t>ADMAG</w:t>
      </w:r>
      <w:r w:rsidR="00701661" w:rsidRPr="009B2080">
        <w:rPr>
          <w:rFonts w:ascii="Times New Roman" w:hAnsi="Times New Roman" w:cs="Times New Roman"/>
          <w:sz w:val="28"/>
          <w:szCs w:val="28"/>
        </w:rPr>
        <w:t>),</w:t>
      </w:r>
      <w:r w:rsidRPr="009B2080">
        <w:rPr>
          <w:rFonts w:ascii="Times New Roman" w:hAnsi="Times New Roman" w:cs="Times New Roman"/>
          <w:sz w:val="28"/>
          <w:szCs w:val="28"/>
        </w:rPr>
        <w:t xml:space="preserve"> was formed, and </w:t>
      </w:r>
      <w:r w:rsidRPr="009B2080">
        <w:rPr>
          <w:rFonts w:ascii="Times New Roman" w:hAnsi="Times New Roman" w:cs="Times New Roman"/>
          <w:sz w:val="28"/>
          <w:szCs w:val="28"/>
        </w:rPr>
        <w:lastRenderedPageBreak/>
        <w:t>has been meeting twice a year with concrete deliverables, actions and recommendations which are being tracked.</w:t>
      </w:r>
      <w:r w:rsidR="0059687D" w:rsidRPr="009B2080">
        <w:rPr>
          <w:rFonts w:ascii="Times New Roman" w:hAnsi="Times New Roman" w:cs="Times New Roman"/>
          <w:sz w:val="28"/>
          <w:szCs w:val="28"/>
        </w:rPr>
        <w:t xml:space="preserve"> Steps are also being made to establish coalitions; already a coalition with UN agenc</w:t>
      </w:r>
      <w:r w:rsidR="003D6884" w:rsidRPr="009B2080">
        <w:rPr>
          <w:rFonts w:ascii="Times New Roman" w:hAnsi="Times New Roman" w:cs="Times New Roman"/>
          <w:sz w:val="28"/>
          <w:szCs w:val="28"/>
        </w:rPr>
        <w:t>ies—</w:t>
      </w:r>
      <w:r w:rsidR="0059687D" w:rsidRPr="009B2080">
        <w:rPr>
          <w:rFonts w:ascii="Times New Roman" w:hAnsi="Times New Roman" w:cs="Times New Roman"/>
          <w:sz w:val="28"/>
          <w:szCs w:val="28"/>
        </w:rPr>
        <w:t xml:space="preserve">through </w:t>
      </w:r>
      <w:r w:rsidR="003D6884" w:rsidRPr="009B2080">
        <w:rPr>
          <w:rFonts w:ascii="Times New Roman" w:hAnsi="Times New Roman" w:cs="Times New Roman"/>
          <w:sz w:val="28"/>
          <w:szCs w:val="28"/>
        </w:rPr>
        <w:t>the Regional Inter Agency Standing Committee (</w:t>
      </w:r>
      <w:r w:rsidR="0059687D" w:rsidRPr="009B2080">
        <w:rPr>
          <w:rFonts w:ascii="Times New Roman" w:hAnsi="Times New Roman" w:cs="Times New Roman"/>
          <w:sz w:val="28"/>
          <w:szCs w:val="28"/>
        </w:rPr>
        <w:t>RIASCO</w:t>
      </w:r>
      <w:r w:rsidR="003D6884" w:rsidRPr="009B2080">
        <w:rPr>
          <w:rFonts w:ascii="Times New Roman" w:hAnsi="Times New Roman" w:cs="Times New Roman"/>
          <w:sz w:val="28"/>
          <w:szCs w:val="28"/>
        </w:rPr>
        <w:t>)</w:t>
      </w:r>
      <w:r w:rsidR="0056098D" w:rsidRPr="009B2080">
        <w:rPr>
          <w:rFonts w:ascii="Times New Roman" w:hAnsi="Times New Roman" w:cs="Times New Roman"/>
          <w:sz w:val="28"/>
          <w:szCs w:val="28"/>
        </w:rPr>
        <w:t xml:space="preserve"> and SADC</w:t>
      </w:r>
      <w:r w:rsidR="003D6884" w:rsidRPr="009B2080">
        <w:rPr>
          <w:rFonts w:ascii="Times New Roman" w:hAnsi="Times New Roman" w:cs="Times New Roman"/>
          <w:sz w:val="28"/>
          <w:szCs w:val="28"/>
        </w:rPr>
        <w:t>—</w:t>
      </w:r>
      <w:r w:rsidR="0059687D" w:rsidRPr="009B2080">
        <w:rPr>
          <w:rFonts w:ascii="Times New Roman" w:hAnsi="Times New Roman" w:cs="Times New Roman"/>
          <w:sz w:val="28"/>
          <w:szCs w:val="28"/>
        </w:rPr>
        <w:t>has been formed in Southern Africa</w:t>
      </w:r>
      <w:r w:rsidR="00033694" w:rsidRPr="009B2080">
        <w:rPr>
          <w:rFonts w:ascii="Times New Roman" w:hAnsi="Times New Roman" w:cs="Times New Roman"/>
          <w:sz w:val="28"/>
          <w:szCs w:val="28"/>
        </w:rPr>
        <w:t xml:space="preserve">. Further efforts to entrench </w:t>
      </w:r>
      <w:r w:rsidR="009E6C23" w:rsidRPr="009B2080">
        <w:rPr>
          <w:rFonts w:ascii="Times New Roman" w:hAnsi="Times New Roman" w:cs="Times New Roman"/>
          <w:sz w:val="28"/>
          <w:szCs w:val="28"/>
        </w:rPr>
        <w:t xml:space="preserve">the </w:t>
      </w:r>
      <w:r w:rsidR="00033694" w:rsidRPr="009B2080">
        <w:rPr>
          <w:rFonts w:ascii="Times New Roman" w:hAnsi="Times New Roman" w:cs="Times New Roman"/>
          <w:sz w:val="28"/>
          <w:szCs w:val="28"/>
        </w:rPr>
        <w:t xml:space="preserve">coalition and ensure that </w:t>
      </w:r>
      <w:r w:rsidR="00FB2078" w:rsidRPr="009B2080">
        <w:rPr>
          <w:rFonts w:ascii="Times New Roman" w:hAnsi="Times New Roman" w:cs="Times New Roman"/>
          <w:sz w:val="28"/>
          <w:szCs w:val="28"/>
        </w:rPr>
        <w:t>National Societies</w:t>
      </w:r>
      <w:r w:rsidR="00033694" w:rsidRPr="009B2080">
        <w:rPr>
          <w:rFonts w:ascii="Times New Roman" w:hAnsi="Times New Roman" w:cs="Times New Roman"/>
          <w:sz w:val="28"/>
          <w:szCs w:val="28"/>
        </w:rPr>
        <w:t xml:space="preserve"> understand the concept was done through </w:t>
      </w:r>
      <w:r w:rsidR="00FB2078" w:rsidRPr="009B2080">
        <w:rPr>
          <w:rFonts w:ascii="Times New Roman" w:hAnsi="Times New Roman" w:cs="Times New Roman"/>
          <w:sz w:val="28"/>
          <w:szCs w:val="28"/>
        </w:rPr>
        <w:t>1 BC meeting which was held in November</w:t>
      </w:r>
      <w:r w:rsidR="009E6C23" w:rsidRPr="009B2080">
        <w:rPr>
          <w:rFonts w:ascii="Times New Roman" w:hAnsi="Times New Roman" w:cs="Times New Roman"/>
          <w:sz w:val="28"/>
          <w:szCs w:val="28"/>
        </w:rPr>
        <w:t xml:space="preserve"> 2017</w:t>
      </w:r>
      <w:r w:rsidR="00FB2078" w:rsidRPr="009B2080">
        <w:rPr>
          <w:rFonts w:ascii="Times New Roman" w:hAnsi="Times New Roman" w:cs="Times New Roman"/>
          <w:sz w:val="28"/>
          <w:szCs w:val="28"/>
        </w:rPr>
        <w:t xml:space="preserve">. </w:t>
      </w:r>
      <w:r w:rsidR="009E6C23" w:rsidRPr="009B2080">
        <w:rPr>
          <w:rFonts w:ascii="Times New Roman" w:hAnsi="Times New Roman" w:cs="Times New Roman"/>
          <w:sz w:val="28"/>
          <w:szCs w:val="28"/>
        </w:rPr>
        <w:t>National Societies (</w:t>
      </w:r>
      <w:r w:rsidR="00FB2078" w:rsidRPr="009B2080">
        <w:rPr>
          <w:rFonts w:ascii="Times New Roman" w:hAnsi="Times New Roman" w:cs="Times New Roman"/>
          <w:sz w:val="28"/>
          <w:szCs w:val="28"/>
        </w:rPr>
        <w:t>NS</w:t>
      </w:r>
      <w:r w:rsidR="001D6642" w:rsidRPr="009B2080">
        <w:rPr>
          <w:rFonts w:ascii="Times New Roman" w:hAnsi="Times New Roman" w:cs="Times New Roman"/>
          <w:sz w:val="28"/>
          <w:szCs w:val="28"/>
        </w:rPr>
        <w:t>s</w:t>
      </w:r>
      <w:r w:rsidR="009E6C23" w:rsidRPr="009B2080">
        <w:rPr>
          <w:rFonts w:ascii="Times New Roman" w:hAnsi="Times New Roman" w:cs="Times New Roman"/>
          <w:sz w:val="28"/>
          <w:szCs w:val="28"/>
        </w:rPr>
        <w:t>)</w:t>
      </w:r>
      <w:r w:rsidR="00FB2078" w:rsidRPr="009B2080">
        <w:rPr>
          <w:rFonts w:ascii="Times New Roman" w:hAnsi="Times New Roman" w:cs="Times New Roman"/>
          <w:sz w:val="28"/>
          <w:szCs w:val="28"/>
        </w:rPr>
        <w:t xml:space="preserve"> undertook to spread the message and work to build coalitions.</w:t>
      </w:r>
      <w:r w:rsidR="004B42BD" w:rsidRPr="009B2080">
        <w:rPr>
          <w:rFonts w:ascii="Times New Roman" w:hAnsi="Times New Roman" w:cs="Times New Roman"/>
          <w:sz w:val="28"/>
          <w:szCs w:val="28"/>
        </w:rPr>
        <w:t xml:space="preserve"> In terms of engagement with regional economic commission and government, </w:t>
      </w:r>
      <w:r w:rsidR="00BC3166" w:rsidRPr="009B2080">
        <w:rPr>
          <w:rFonts w:ascii="Times New Roman" w:hAnsi="Times New Roman" w:cs="Times New Roman"/>
          <w:sz w:val="28"/>
          <w:szCs w:val="28"/>
        </w:rPr>
        <w:t xml:space="preserve">a </w:t>
      </w:r>
      <w:r w:rsidR="004B42BD" w:rsidRPr="009B2080">
        <w:rPr>
          <w:rFonts w:ascii="Times New Roman" w:hAnsi="Times New Roman" w:cs="Times New Roman"/>
          <w:sz w:val="28"/>
          <w:szCs w:val="28"/>
        </w:rPr>
        <w:t>partnership has been initiated with IGAD on climate preparedness</w:t>
      </w:r>
      <w:r w:rsidR="00BC3166" w:rsidRPr="009B2080">
        <w:rPr>
          <w:rFonts w:ascii="Times New Roman" w:hAnsi="Times New Roman" w:cs="Times New Roman"/>
          <w:sz w:val="28"/>
          <w:szCs w:val="28"/>
        </w:rPr>
        <w:t>,</w:t>
      </w:r>
      <w:r w:rsidR="004B42BD" w:rsidRPr="009B2080">
        <w:rPr>
          <w:rFonts w:ascii="Times New Roman" w:hAnsi="Times New Roman" w:cs="Times New Roman"/>
          <w:sz w:val="28"/>
          <w:szCs w:val="28"/>
        </w:rPr>
        <w:t xml:space="preserve"> and </w:t>
      </w:r>
      <w:r w:rsidR="003C2D9B" w:rsidRPr="009B2080">
        <w:rPr>
          <w:rFonts w:ascii="Times New Roman" w:hAnsi="Times New Roman" w:cs="Times New Roman"/>
          <w:sz w:val="28"/>
          <w:szCs w:val="28"/>
        </w:rPr>
        <w:t xml:space="preserve">a </w:t>
      </w:r>
      <w:r w:rsidR="004B42BD" w:rsidRPr="009B2080">
        <w:rPr>
          <w:rFonts w:ascii="Times New Roman" w:hAnsi="Times New Roman" w:cs="Times New Roman"/>
          <w:sz w:val="28"/>
          <w:szCs w:val="28"/>
        </w:rPr>
        <w:t xml:space="preserve">draft MoU </w:t>
      </w:r>
      <w:r w:rsidR="009F591B" w:rsidRPr="009B2080">
        <w:rPr>
          <w:rFonts w:ascii="Times New Roman" w:hAnsi="Times New Roman" w:cs="Times New Roman"/>
          <w:sz w:val="28"/>
          <w:szCs w:val="28"/>
        </w:rPr>
        <w:t xml:space="preserve">has been </w:t>
      </w:r>
      <w:r w:rsidR="004B42BD" w:rsidRPr="009B2080">
        <w:rPr>
          <w:rFonts w:ascii="Times New Roman" w:hAnsi="Times New Roman" w:cs="Times New Roman"/>
          <w:sz w:val="28"/>
          <w:szCs w:val="28"/>
        </w:rPr>
        <w:t>agreed</w:t>
      </w:r>
      <w:r w:rsidR="003C2D9B" w:rsidRPr="009B2080">
        <w:rPr>
          <w:rFonts w:ascii="Times New Roman" w:hAnsi="Times New Roman" w:cs="Times New Roman"/>
          <w:sz w:val="28"/>
          <w:szCs w:val="28"/>
        </w:rPr>
        <w:t xml:space="preserve"> upon</w:t>
      </w:r>
      <w:r w:rsidR="004B42BD" w:rsidRPr="009B2080">
        <w:rPr>
          <w:rFonts w:ascii="Times New Roman" w:hAnsi="Times New Roman" w:cs="Times New Roman"/>
          <w:sz w:val="28"/>
          <w:szCs w:val="28"/>
        </w:rPr>
        <w:t xml:space="preserve">. It is also important to note that good progress has been made in terms of innovative partnership through framework agreement with </w:t>
      </w:r>
      <w:r w:rsidR="00DD6BCB" w:rsidRPr="009B2080">
        <w:rPr>
          <w:rFonts w:ascii="Times New Roman" w:hAnsi="Times New Roman" w:cs="Times New Roman"/>
          <w:i/>
          <w:sz w:val="28"/>
          <w:szCs w:val="28"/>
        </w:rPr>
        <w:t>Connnectik</w:t>
      </w:r>
      <w:r w:rsidR="004B42BD" w:rsidRPr="009B2080">
        <w:rPr>
          <w:rFonts w:ascii="Times New Roman" w:hAnsi="Times New Roman" w:cs="Times New Roman"/>
          <w:i/>
          <w:sz w:val="28"/>
          <w:szCs w:val="28"/>
        </w:rPr>
        <w:t xml:space="preserve"> </w:t>
      </w:r>
      <w:r w:rsidR="004B42BD" w:rsidRPr="009B2080">
        <w:rPr>
          <w:rFonts w:ascii="Times New Roman" w:hAnsi="Times New Roman" w:cs="Times New Roman"/>
          <w:sz w:val="28"/>
          <w:szCs w:val="28"/>
        </w:rPr>
        <w:t xml:space="preserve">(South Africa, Abidjan) and </w:t>
      </w:r>
      <w:r w:rsidR="004B42BD" w:rsidRPr="009B2080">
        <w:rPr>
          <w:rFonts w:ascii="Times New Roman" w:hAnsi="Times New Roman" w:cs="Times New Roman"/>
          <w:i/>
          <w:sz w:val="28"/>
          <w:szCs w:val="28"/>
        </w:rPr>
        <w:t>MU</w:t>
      </w:r>
      <w:r w:rsidR="007F7C88" w:rsidRPr="009B2080">
        <w:rPr>
          <w:rFonts w:ascii="Times New Roman" w:hAnsi="Times New Roman" w:cs="Times New Roman"/>
          <w:i/>
          <w:sz w:val="28"/>
          <w:szCs w:val="28"/>
        </w:rPr>
        <w:t>r</w:t>
      </w:r>
      <w:r w:rsidR="004B42BD" w:rsidRPr="009B2080">
        <w:rPr>
          <w:rFonts w:ascii="Times New Roman" w:hAnsi="Times New Roman" w:cs="Times New Roman"/>
          <w:i/>
          <w:sz w:val="28"/>
          <w:szCs w:val="28"/>
        </w:rPr>
        <w:t>gency</w:t>
      </w:r>
      <w:r w:rsidR="004B42BD" w:rsidRPr="009B2080">
        <w:rPr>
          <w:rFonts w:ascii="Times New Roman" w:hAnsi="Times New Roman" w:cs="Times New Roman"/>
          <w:sz w:val="28"/>
          <w:szCs w:val="28"/>
        </w:rPr>
        <w:t xml:space="preserve"> in Nigeria.</w:t>
      </w:r>
    </w:p>
    <w:p w14:paraId="310141EC" w14:textId="77777777" w:rsidR="009F591B" w:rsidRPr="009B2080" w:rsidRDefault="009F591B" w:rsidP="009B2080">
      <w:pPr>
        <w:pStyle w:val="ListParagraph"/>
        <w:spacing w:after="0" w:line="240" w:lineRule="auto"/>
        <w:ind w:left="0"/>
        <w:jc w:val="both"/>
        <w:rPr>
          <w:rFonts w:ascii="Times New Roman" w:hAnsi="Times New Roman" w:cs="Times New Roman"/>
          <w:sz w:val="28"/>
          <w:szCs w:val="28"/>
        </w:rPr>
      </w:pPr>
    </w:p>
    <w:p w14:paraId="6AC45479" w14:textId="77777777" w:rsidR="004B42BD" w:rsidRPr="009B2080" w:rsidRDefault="004B42BD" w:rsidP="009B2080">
      <w:pPr>
        <w:spacing w:after="0" w:line="240" w:lineRule="auto"/>
        <w:jc w:val="both"/>
        <w:rPr>
          <w:rFonts w:ascii="Times New Roman" w:hAnsi="Times New Roman" w:cs="Times New Roman"/>
          <w:sz w:val="28"/>
          <w:szCs w:val="28"/>
        </w:rPr>
      </w:pPr>
    </w:p>
    <w:p w14:paraId="08E9A052" w14:textId="77777777" w:rsidR="00C0586E" w:rsidRPr="009B2080" w:rsidRDefault="00C0586E"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05B80EBC" w14:textId="77777777" w:rsidR="00C0586E" w:rsidRPr="009B2080" w:rsidRDefault="00C0586E" w:rsidP="009B2080">
      <w:pPr>
        <w:spacing w:after="0" w:line="240" w:lineRule="auto"/>
        <w:jc w:val="both"/>
        <w:rPr>
          <w:rFonts w:ascii="Times New Roman" w:hAnsi="Times New Roman" w:cs="Times New Roman"/>
          <w:sz w:val="28"/>
          <w:szCs w:val="28"/>
        </w:rPr>
      </w:pPr>
    </w:p>
    <w:p w14:paraId="0119E478" w14:textId="5CD162F8" w:rsidR="004B42BD" w:rsidRPr="009B2080" w:rsidRDefault="004B42BD"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Despite the progress and observed, a few corrective actions were suggested by the team:</w:t>
      </w:r>
      <w:r w:rsidR="008B6A8F" w:rsidRPr="009B2080">
        <w:rPr>
          <w:rFonts w:ascii="Times New Roman" w:hAnsi="Times New Roman" w:cs="Times New Roman"/>
          <w:sz w:val="28"/>
          <w:szCs w:val="28"/>
        </w:rPr>
        <w:t xml:space="preserve"> NSs need to be given more </w:t>
      </w:r>
      <w:r w:rsidR="00C62687" w:rsidRPr="009B2080">
        <w:rPr>
          <w:rFonts w:ascii="Times New Roman" w:hAnsi="Times New Roman" w:cs="Times New Roman"/>
          <w:sz w:val="28"/>
          <w:szCs w:val="28"/>
        </w:rPr>
        <w:t>information and need to be consulted by IFRC. Moreover,</w:t>
      </w:r>
      <w:r w:rsidR="008B6A8F" w:rsidRPr="009B2080">
        <w:rPr>
          <w:rFonts w:ascii="Times New Roman" w:hAnsi="Times New Roman" w:cs="Times New Roman"/>
          <w:sz w:val="28"/>
          <w:szCs w:val="28"/>
        </w:rPr>
        <w:t xml:space="preserve"> ADMAG </w:t>
      </w:r>
      <w:r w:rsidR="00C62687" w:rsidRPr="009B2080">
        <w:rPr>
          <w:rFonts w:ascii="Times New Roman" w:hAnsi="Times New Roman" w:cs="Times New Roman"/>
          <w:sz w:val="28"/>
          <w:szCs w:val="28"/>
        </w:rPr>
        <w:t>representatives for</w:t>
      </w:r>
      <w:r w:rsidR="008B6A8F" w:rsidRPr="009B2080">
        <w:rPr>
          <w:rFonts w:ascii="Times New Roman" w:hAnsi="Times New Roman" w:cs="Times New Roman"/>
          <w:sz w:val="28"/>
          <w:szCs w:val="28"/>
        </w:rPr>
        <w:t xml:space="preserve"> clusters need to disseminate information and collect priorities of NSs they represent</w:t>
      </w:r>
      <w:r w:rsidR="00C62687" w:rsidRPr="009B2080">
        <w:rPr>
          <w:rFonts w:ascii="Times New Roman" w:hAnsi="Times New Roman" w:cs="Times New Roman"/>
          <w:sz w:val="28"/>
          <w:szCs w:val="28"/>
        </w:rPr>
        <w:t xml:space="preserve">. This is important in terms of bridging the information gap and addressing the changing needs of the NSs. There is a need to have a dedicated staff to focus on Regional DRR strategy to support green solutions, multi-hazard early warning and food insecurity. In addition, to further strengthen partnership and engagement with regional economic commissions and governments, more senior level engagement with IGAD and SADC is needed. Similarly, there is </w:t>
      </w:r>
      <w:r w:rsidR="001D6642" w:rsidRPr="009B2080">
        <w:rPr>
          <w:rFonts w:ascii="Times New Roman" w:hAnsi="Times New Roman" w:cs="Times New Roman"/>
          <w:sz w:val="28"/>
          <w:szCs w:val="28"/>
        </w:rPr>
        <w:t xml:space="preserve">a </w:t>
      </w:r>
      <w:r w:rsidR="00C62687" w:rsidRPr="009B2080">
        <w:rPr>
          <w:rFonts w:ascii="Times New Roman" w:hAnsi="Times New Roman" w:cs="Times New Roman"/>
          <w:sz w:val="28"/>
          <w:szCs w:val="28"/>
        </w:rPr>
        <w:t>need to choose target countries and engage more directly.</w:t>
      </w:r>
    </w:p>
    <w:p w14:paraId="595E7C79" w14:textId="77777777" w:rsidR="004B42BD" w:rsidRPr="009B2080" w:rsidRDefault="004B42BD" w:rsidP="009B2080">
      <w:pPr>
        <w:spacing w:after="0" w:line="240" w:lineRule="auto"/>
        <w:jc w:val="both"/>
        <w:rPr>
          <w:rFonts w:ascii="Times New Roman" w:hAnsi="Times New Roman" w:cs="Times New Roman"/>
          <w:sz w:val="28"/>
          <w:szCs w:val="28"/>
        </w:rPr>
      </w:pPr>
    </w:p>
    <w:p w14:paraId="18DA2698" w14:textId="77777777" w:rsidR="00604E10" w:rsidRPr="009B2080" w:rsidRDefault="00604E10"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 xml:space="preserve">AOF 2:  </w:t>
      </w:r>
      <w:r w:rsidR="00676AA7" w:rsidRPr="009B2080">
        <w:rPr>
          <w:rFonts w:ascii="Times New Roman" w:hAnsi="Times New Roman" w:cs="Times New Roman"/>
          <w:b/>
          <w:sz w:val="28"/>
          <w:szCs w:val="28"/>
        </w:rPr>
        <w:t>SHELTER</w:t>
      </w:r>
    </w:p>
    <w:p w14:paraId="04076519" w14:textId="07BB5025" w:rsidR="00C62687" w:rsidRPr="009B2080" w:rsidRDefault="00C62687"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There was</w:t>
      </w:r>
      <w:r w:rsidR="00B67B38" w:rsidRPr="009B2080">
        <w:rPr>
          <w:rFonts w:ascii="Times New Roman" w:hAnsi="Times New Roman" w:cs="Times New Roman"/>
          <w:sz w:val="28"/>
          <w:szCs w:val="28"/>
        </w:rPr>
        <w:t xml:space="preserve"> a slight</w:t>
      </w:r>
      <w:r w:rsidRPr="009B2080">
        <w:rPr>
          <w:rFonts w:ascii="Times New Roman" w:hAnsi="Times New Roman" w:cs="Times New Roman"/>
          <w:sz w:val="28"/>
          <w:szCs w:val="28"/>
        </w:rPr>
        <w:t xml:space="preserve"> improvement in shelter performance compared to the half year performance</w:t>
      </w:r>
      <w:r w:rsidR="00BE6C84" w:rsidRPr="009B2080">
        <w:rPr>
          <w:rFonts w:ascii="Times New Roman" w:hAnsi="Times New Roman" w:cs="Times New Roman"/>
          <w:sz w:val="28"/>
          <w:szCs w:val="28"/>
        </w:rPr>
        <w:t xml:space="preserve"> which had a score of 1</w:t>
      </w:r>
      <w:r w:rsidRPr="009B2080">
        <w:rPr>
          <w:rFonts w:ascii="Times New Roman" w:hAnsi="Times New Roman" w:cs="Times New Roman"/>
          <w:sz w:val="28"/>
          <w:szCs w:val="28"/>
        </w:rPr>
        <w:t>. It had a score rating of 2.8 out of 5.</w:t>
      </w:r>
      <w:r w:rsidR="00BE6C84" w:rsidRPr="009B2080">
        <w:rPr>
          <w:rFonts w:ascii="Times New Roman" w:hAnsi="Times New Roman" w:cs="Times New Roman"/>
          <w:sz w:val="28"/>
          <w:szCs w:val="28"/>
        </w:rPr>
        <w:t xml:space="preserve"> Some of the key milestone under review included: </w:t>
      </w:r>
      <w:r w:rsidR="001239B3" w:rsidRPr="009B2080">
        <w:rPr>
          <w:rFonts w:ascii="Times New Roman" w:hAnsi="Times New Roman" w:cs="Times New Roman"/>
          <w:sz w:val="28"/>
          <w:szCs w:val="28"/>
        </w:rPr>
        <w:t>d</w:t>
      </w:r>
      <w:r w:rsidR="00BE6C84" w:rsidRPr="009B2080">
        <w:rPr>
          <w:rFonts w:ascii="Times New Roman" w:hAnsi="Times New Roman" w:cs="Times New Roman"/>
          <w:sz w:val="28"/>
          <w:szCs w:val="28"/>
        </w:rPr>
        <w:t>eveloping a shared Leadership Group to provide support in the development of Strategy, and technical expertise in planning and implementation</w:t>
      </w:r>
      <w:r w:rsidR="001239B3" w:rsidRPr="009B2080">
        <w:rPr>
          <w:rFonts w:ascii="Times New Roman" w:hAnsi="Times New Roman" w:cs="Times New Roman"/>
          <w:sz w:val="28"/>
          <w:szCs w:val="28"/>
        </w:rPr>
        <w:t xml:space="preserve">; </w:t>
      </w:r>
      <w:r w:rsidR="00BE6C84" w:rsidRPr="009B2080">
        <w:rPr>
          <w:rFonts w:ascii="Times New Roman" w:hAnsi="Times New Roman" w:cs="Times New Roman"/>
          <w:sz w:val="28"/>
          <w:szCs w:val="28"/>
        </w:rPr>
        <w:t xml:space="preserve">developing shelter strategy for Africa to expand partnerships, measure the number of households reached and increases funding and </w:t>
      </w:r>
      <w:r w:rsidR="001239B3" w:rsidRPr="009B2080">
        <w:rPr>
          <w:rFonts w:ascii="Times New Roman" w:hAnsi="Times New Roman" w:cs="Times New Roman"/>
          <w:sz w:val="28"/>
          <w:szCs w:val="28"/>
        </w:rPr>
        <w:t>p</w:t>
      </w:r>
      <w:r w:rsidR="00BE6C84" w:rsidRPr="009B2080">
        <w:rPr>
          <w:rFonts w:ascii="Times New Roman" w:hAnsi="Times New Roman" w:cs="Times New Roman"/>
          <w:sz w:val="28"/>
          <w:szCs w:val="28"/>
        </w:rPr>
        <w:t>roviding enhanced support to ten NS</w:t>
      </w:r>
      <w:r w:rsidR="001239B3" w:rsidRPr="009B2080">
        <w:rPr>
          <w:rFonts w:ascii="Times New Roman" w:hAnsi="Times New Roman" w:cs="Times New Roman"/>
          <w:sz w:val="28"/>
          <w:szCs w:val="28"/>
        </w:rPr>
        <w:t>s</w:t>
      </w:r>
      <w:r w:rsidR="00BE6C84" w:rsidRPr="009B2080">
        <w:rPr>
          <w:rFonts w:ascii="Times New Roman" w:hAnsi="Times New Roman" w:cs="Times New Roman"/>
          <w:sz w:val="28"/>
          <w:szCs w:val="28"/>
        </w:rPr>
        <w:t xml:space="preserve"> in shelter related emergencies. A fairly good progress had been observed. Shelter strategy for Africa has not been developed however there is ongoing discussions with Lux</w:t>
      </w:r>
      <w:r w:rsidR="0006399F" w:rsidRPr="009B2080">
        <w:rPr>
          <w:rFonts w:ascii="Times New Roman" w:hAnsi="Times New Roman" w:cs="Times New Roman"/>
          <w:sz w:val="28"/>
          <w:szCs w:val="28"/>
        </w:rPr>
        <w:t>embourg</w:t>
      </w:r>
      <w:r w:rsidR="00BE6C84" w:rsidRPr="009B2080">
        <w:rPr>
          <w:rFonts w:ascii="Times New Roman" w:hAnsi="Times New Roman" w:cs="Times New Roman"/>
          <w:sz w:val="28"/>
          <w:szCs w:val="28"/>
        </w:rPr>
        <w:t xml:space="preserve"> Red Cross </w:t>
      </w:r>
      <w:r w:rsidR="00CC44EE" w:rsidRPr="009B2080">
        <w:rPr>
          <w:rFonts w:ascii="Times New Roman" w:hAnsi="Times New Roman" w:cs="Times New Roman"/>
          <w:sz w:val="28"/>
          <w:szCs w:val="28"/>
        </w:rPr>
        <w:t xml:space="preserve">with a view to securing the latter’s support on </w:t>
      </w:r>
      <w:r w:rsidR="00BE6C84" w:rsidRPr="009B2080">
        <w:rPr>
          <w:rFonts w:ascii="Times New Roman" w:hAnsi="Times New Roman" w:cs="Times New Roman"/>
          <w:sz w:val="28"/>
          <w:szCs w:val="28"/>
        </w:rPr>
        <w:t>this. In terms of enhanced support to NSs in shelter related emergencies, activities related to shelter are being included in the E</w:t>
      </w:r>
      <w:r w:rsidR="00C6192E" w:rsidRPr="009B2080">
        <w:rPr>
          <w:rFonts w:ascii="Times New Roman" w:hAnsi="Times New Roman" w:cs="Times New Roman"/>
          <w:sz w:val="28"/>
          <w:szCs w:val="28"/>
        </w:rPr>
        <w:t xml:space="preserve">ast </w:t>
      </w:r>
      <w:r w:rsidR="0056098D" w:rsidRPr="009B2080">
        <w:rPr>
          <w:rFonts w:ascii="Times New Roman" w:hAnsi="Times New Roman" w:cs="Times New Roman"/>
          <w:sz w:val="28"/>
          <w:szCs w:val="28"/>
        </w:rPr>
        <w:t>and S</w:t>
      </w:r>
      <w:r w:rsidR="00E603E0" w:rsidRPr="009B2080">
        <w:rPr>
          <w:rFonts w:ascii="Times New Roman" w:hAnsi="Times New Roman" w:cs="Times New Roman"/>
          <w:sz w:val="28"/>
          <w:szCs w:val="28"/>
        </w:rPr>
        <w:t xml:space="preserve">outhern </w:t>
      </w:r>
      <w:r w:rsidR="0056098D" w:rsidRPr="009B2080">
        <w:rPr>
          <w:rFonts w:ascii="Times New Roman" w:hAnsi="Times New Roman" w:cs="Times New Roman"/>
          <w:sz w:val="28"/>
          <w:szCs w:val="28"/>
        </w:rPr>
        <w:t>A</w:t>
      </w:r>
      <w:r w:rsidR="00E603E0" w:rsidRPr="009B2080">
        <w:rPr>
          <w:rFonts w:ascii="Times New Roman" w:hAnsi="Times New Roman" w:cs="Times New Roman"/>
          <w:sz w:val="28"/>
          <w:szCs w:val="28"/>
        </w:rPr>
        <w:t>frica</w:t>
      </w:r>
      <w:r w:rsidR="00C6192E" w:rsidRPr="009B2080">
        <w:rPr>
          <w:rFonts w:ascii="Times New Roman" w:hAnsi="Times New Roman" w:cs="Times New Roman"/>
          <w:sz w:val="28"/>
          <w:szCs w:val="28"/>
        </w:rPr>
        <w:t>n National Societies,</w:t>
      </w:r>
      <w:r w:rsidR="00E603E0" w:rsidRPr="009B2080">
        <w:rPr>
          <w:rFonts w:ascii="Times New Roman" w:hAnsi="Times New Roman" w:cs="Times New Roman"/>
          <w:sz w:val="28"/>
          <w:szCs w:val="28"/>
        </w:rPr>
        <w:t xml:space="preserve"> </w:t>
      </w:r>
      <w:r w:rsidR="00BE6C84" w:rsidRPr="009B2080">
        <w:rPr>
          <w:rFonts w:ascii="Times New Roman" w:hAnsi="Times New Roman" w:cs="Times New Roman"/>
          <w:sz w:val="28"/>
          <w:szCs w:val="28"/>
        </w:rPr>
        <w:t>but mostly</w:t>
      </w:r>
      <w:r w:rsidR="006512CA" w:rsidRPr="009B2080">
        <w:rPr>
          <w:rFonts w:ascii="Times New Roman" w:hAnsi="Times New Roman" w:cs="Times New Roman"/>
          <w:sz w:val="28"/>
          <w:szCs w:val="28"/>
        </w:rPr>
        <w:t xml:space="preserve"> with regards to</w:t>
      </w:r>
      <w:r w:rsidR="00BE6C84" w:rsidRPr="009B2080">
        <w:rPr>
          <w:rFonts w:ascii="Times New Roman" w:hAnsi="Times New Roman" w:cs="Times New Roman"/>
          <w:sz w:val="28"/>
          <w:szCs w:val="28"/>
        </w:rPr>
        <w:t xml:space="preserve"> emergency shelter. A few corrective actions have been suggested by </w:t>
      </w:r>
      <w:r w:rsidR="00BE6C84" w:rsidRPr="009B2080">
        <w:rPr>
          <w:rFonts w:ascii="Times New Roman" w:hAnsi="Times New Roman" w:cs="Times New Roman"/>
          <w:sz w:val="28"/>
          <w:szCs w:val="28"/>
        </w:rPr>
        <w:lastRenderedPageBreak/>
        <w:t>the team such as</w:t>
      </w:r>
      <w:r w:rsidR="006A22B8" w:rsidRPr="009B2080">
        <w:rPr>
          <w:rFonts w:ascii="Times New Roman" w:hAnsi="Times New Roman" w:cs="Times New Roman"/>
          <w:sz w:val="28"/>
          <w:szCs w:val="28"/>
        </w:rPr>
        <w:t xml:space="preserve"> d</w:t>
      </w:r>
      <w:r w:rsidR="00BE6C84" w:rsidRPr="009B2080">
        <w:rPr>
          <w:rFonts w:ascii="Times New Roman" w:hAnsi="Times New Roman" w:cs="Times New Roman"/>
          <w:sz w:val="28"/>
          <w:szCs w:val="28"/>
        </w:rPr>
        <w:t>eveloping a shared leadership model with Lux</w:t>
      </w:r>
      <w:r w:rsidR="0006399F" w:rsidRPr="009B2080">
        <w:rPr>
          <w:rFonts w:ascii="Times New Roman" w:hAnsi="Times New Roman" w:cs="Times New Roman"/>
          <w:sz w:val="28"/>
          <w:szCs w:val="28"/>
        </w:rPr>
        <w:t>embourg</w:t>
      </w:r>
      <w:r w:rsidR="00BE6C84" w:rsidRPr="009B2080">
        <w:rPr>
          <w:rFonts w:ascii="Times New Roman" w:hAnsi="Times New Roman" w:cs="Times New Roman"/>
          <w:sz w:val="28"/>
          <w:szCs w:val="28"/>
        </w:rPr>
        <w:t xml:space="preserve"> R</w:t>
      </w:r>
      <w:r w:rsidR="00DD1746" w:rsidRPr="009B2080">
        <w:rPr>
          <w:rFonts w:ascii="Times New Roman" w:hAnsi="Times New Roman" w:cs="Times New Roman"/>
          <w:sz w:val="28"/>
          <w:szCs w:val="28"/>
        </w:rPr>
        <w:t xml:space="preserve">ed </w:t>
      </w:r>
      <w:r w:rsidR="00BE6C84" w:rsidRPr="009B2080">
        <w:rPr>
          <w:rFonts w:ascii="Times New Roman" w:hAnsi="Times New Roman" w:cs="Times New Roman"/>
          <w:sz w:val="28"/>
          <w:szCs w:val="28"/>
        </w:rPr>
        <w:t>C</w:t>
      </w:r>
      <w:r w:rsidR="00DD1746" w:rsidRPr="009B2080">
        <w:rPr>
          <w:rFonts w:ascii="Times New Roman" w:hAnsi="Times New Roman" w:cs="Times New Roman"/>
          <w:sz w:val="28"/>
          <w:szCs w:val="28"/>
        </w:rPr>
        <w:t>ross</w:t>
      </w:r>
      <w:r w:rsidR="00BE6C84" w:rsidRPr="009B2080">
        <w:rPr>
          <w:rFonts w:ascii="Times New Roman" w:hAnsi="Times New Roman" w:cs="Times New Roman"/>
          <w:sz w:val="28"/>
          <w:szCs w:val="28"/>
        </w:rPr>
        <w:t xml:space="preserve"> and stepping up shelter through our partnership with</w:t>
      </w:r>
      <w:r w:rsidR="00DD1746" w:rsidRPr="009B2080">
        <w:rPr>
          <w:rFonts w:ascii="Times New Roman" w:hAnsi="Times New Roman" w:cs="Times New Roman"/>
          <w:sz w:val="28"/>
          <w:szCs w:val="28"/>
        </w:rPr>
        <w:t xml:space="preserve"> them</w:t>
      </w:r>
      <w:r w:rsidR="00BE6C84" w:rsidRPr="009B2080">
        <w:rPr>
          <w:rFonts w:ascii="Times New Roman" w:hAnsi="Times New Roman" w:cs="Times New Roman"/>
          <w:sz w:val="28"/>
          <w:szCs w:val="28"/>
        </w:rPr>
        <w:t xml:space="preserve"> </w:t>
      </w:r>
      <w:r w:rsidR="00DD1746" w:rsidRPr="009B2080">
        <w:rPr>
          <w:rFonts w:ascii="Times New Roman" w:hAnsi="Times New Roman" w:cs="Times New Roman"/>
          <w:sz w:val="28"/>
          <w:szCs w:val="28"/>
        </w:rPr>
        <w:t>(</w:t>
      </w:r>
      <w:r w:rsidR="00BE6C84" w:rsidRPr="009B2080">
        <w:rPr>
          <w:rFonts w:ascii="Times New Roman" w:hAnsi="Times New Roman" w:cs="Times New Roman"/>
          <w:sz w:val="28"/>
          <w:szCs w:val="28"/>
        </w:rPr>
        <w:t>Lux</w:t>
      </w:r>
      <w:r w:rsidR="0006399F" w:rsidRPr="009B2080">
        <w:rPr>
          <w:rFonts w:ascii="Times New Roman" w:hAnsi="Times New Roman" w:cs="Times New Roman"/>
          <w:sz w:val="28"/>
          <w:szCs w:val="28"/>
        </w:rPr>
        <w:t>embourg</w:t>
      </w:r>
      <w:r w:rsidR="00BE6C84" w:rsidRPr="009B2080">
        <w:rPr>
          <w:rFonts w:ascii="Times New Roman" w:hAnsi="Times New Roman" w:cs="Times New Roman"/>
          <w:sz w:val="28"/>
          <w:szCs w:val="28"/>
        </w:rPr>
        <w:t xml:space="preserve"> R</w:t>
      </w:r>
      <w:r w:rsidR="00DD1746" w:rsidRPr="009B2080">
        <w:rPr>
          <w:rFonts w:ascii="Times New Roman" w:hAnsi="Times New Roman" w:cs="Times New Roman"/>
          <w:sz w:val="28"/>
          <w:szCs w:val="28"/>
        </w:rPr>
        <w:t xml:space="preserve">ed </w:t>
      </w:r>
      <w:r w:rsidR="00BE6C84" w:rsidRPr="009B2080">
        <w:rPr>
          <w:rFonts w:ascii="Times New Roman" w:hAnsi="Times New Roman" w:cs="Times New Roman"/>
          <w:sz w:val="28"/>
          <w:szCs w:val="28"/>
        </w:rPr>
        <w:t>C</w:t>
      </w:r>
      <w:r w:rsidR="00DD1746" w:rsidRPr="009B2080">
        <w:rPr>
          <w:rFonts w:ascii="Times New Roman" w:hAnsi="Times New Roman" w:cs="Times New Roman"/>
          <w:sz w:val="28"/>
          <w:szCs w:val="28"/>
        </w:rPr>
        <w:t>ross)</w:t>
      </w:r>
      <w:r w:rsidR="00BE6C84" w:rsidRPr="009B2080">
        <w:rPr>
          <w:rFonts w:ascii="Times New Roman" w:hAnsi="Times New Roman" w:cs="Times New Roman"/>
          <w:sz w:val="28"/>
          <w:szCs w:val="28"/>
        </w:rPr>
        <w:t>.</w:t>
      </w:r>
    </w:p>
    <w:p w14:paraId="2ABE1553" w14:textId="77777777" w:rsidR="00BE6C84" w:rsidRPr="009B2080" w:rsidRDefault="00BE6C84" w:rsidP="009B2080">
      <w:pPr>
        <w:spacing w:after="0" w:line="240" w:lineRule="auto"/>
        <w:jc w:val="both"/>
        <w:rPr>
          <w:rFonts w:ascii="Times New Roman" w:hAnsi="Times New Roman" w:cs="Times New Roman"/>
          <w:sz w:val="28"/>
          <w:szCs w:val="28"/>
        </w:rPr>
      </w:pPr>
    </w:p>
    <w:p w14:paraId="5944CF31" w14:textId="77777777" w:rsidR="00232F82" w:rsidRPr="009B2080" w:rsidRDefault="00232F82"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AOF 3: LIVELIHOODS</w:t>
      </w:r>
    </w:p>
    <w:p w14:paraId="3FCD73ED" w14:textId="77777777" w:rsidR="004809D5" w:rsidRPr="009B2080" w:rsidRDefault="004809D5" w:rsidP="009B2080">
      <w:pPr>
        <w:spacing w:after="0" w:line="240" w:lineRule="auto"/>
        <w:jc w:val="both"/>
        <w:rPr>
          <w:rFonts w:ascii="Times New Roman" w:hAnsi="Times New Roman" w:cs="Times New Roman"/>
          <w:b/>
          <w:sz w:val="28"/>
          <w:szCs w:val="28"/>
        </w:rPr>
      </w:pPr>
    </w:p>
    <w:p w14:paraId="47E51EDE" w14:textId="16663A63" w:rsidR="004809D5" w:rsidRPr="009B2080" w:rsidRDefault="004809D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Livelihood had one of the highest ratings at 2.9 out of 5 which is good and consistent with its performance at midyear. The key milestone reviewed included: IFRC Community Resilience Plan to drought in Southern Africa approved and 60</w:t>
      </w:r>
      <w:r w:rsidR="00C6192E" w:rsidRPr="009B2080">
        <w:rPr>
          <w:rFonts w:ascii="Times New Roman" w:hAnsi="Times New Roman" w:cs="Times New Roman"/>
          <w:sz w:val="28"/>
          <w:szCs w:val="28"/>
        </w:rPr>
        <w:t xml:space="preserve"> per cent </w:t>
      </w:r>
      <w:r w:rsidRPr="009B2080">
        <w:rPr>
          <w:rFonts w:ascii="Times New Roman" w:hAnsi="Times New Roman" w:cs="Times New Roman"/>
          <w:sz w:val="28"/>
          <w:szCs w:val="28"/>
        </w:rPr>
        <w:t xml:space="preserve">of funding secured, </w:t>
      </w:r>
      <w:r w:rsidR="004704C1" w:rsidRPr="009B2080">
        <w:rPr>
          <w:rFonts w:ascii="Times New Roman" w:hAnsi="Times New Roman" w:cs="Times New Roman"/>
          <w:sz w:val="28"/>
          <w:szCs w:val="28"/>
        </w:rPr>
        <w:t>convene</w:t>
      </w:r>
      <w:r w:rsidRPr="009B2080">
        <w:rPr>
          <w:rFonts w:ascii="Times New Roman" w:hAnsi="Times New Roman" w:cs="Times New Roman"/>
          <w:sz w:val="28"/>
          <w:szCs w:val="28"/>
        </w:rPr>
        <w:t xml:space="preserve"> partners’ coalition aligned and committed to chronic food insecurity and number of women and men trained in vocational skills and provided with cash assistance or in-kind support</w:t>
      </w:r>
      <w:r w:rsidR="004704C1" w:rsidRPr="009B2080">
        <w:rPr>
          <w:rFonts w:ascii="Times New Roman" w:hAnsi="Times New Roman" w:cs="Times New Roman"/>
          <w:sz w:val="28"/>
          <w:szCs w:val="28"/>
        </w:rPr>
        <w:t>. In terms of IFRC community resilience plan</w:t>
      </w:r>
      <w:r w:rsidR="003E11EB" w:rsidRPr="009B2080">
        <w:rPr>
          <w:rFonts w:ascii="Times New Roman" w:hAnsi="Times New Roman" w:cs="Times New Roman"/>
          <w:sz w:val="28"/>
          <w:szCs w:val="28"/>
        </w:rPr>
        <w:t xml:space="preserve"> for Southern Africa</w:t>
      </w:r>
      <w:r w:rsidR="004704C1" w:rsidRPr="009B2080">
        <w:rPr>
          <w:rFonts w:ascii="Times New Roman" w:hAnsi="Times New Roman" w:cs="Times New Roman"/>
          <w:sz w:val="28"/>
          <w:szCs w:val="28"/>
        </w:rPr>
        <w:t xml:space="preserve">, </w:t>
      </w:r>
      <w:r w:rsidR="000D6754" w:rsidRPr="009B2080">
        <w:rPr>
          <w:rFonts w:ascii="Times New Roman" w:hAnsi="Times New Roman" w:cs="Times New Roman"/>
          <w:sz w:val="28"/>
          <w:szCs w:val="28"/>
        </w:rPr>
        <w:t>the latter</w:t>
      </w:r>
      <w:r w:rsidR="004704C1" w:rsidRPr="009B2080">
        <w:rPr>
          <w:rFonts w:ascii="Times New Roman" w:hAnsi="Times New Roman" w:cs="Times New Roman"/>
          <w:sz w:val="28"/>
          <w:szCs w:val="28"/>
        </w:rPr>
        <w:t xml:space="preserve"> was </w:t>
      </w:r>
      <w:r w:rsidR="000D6754" w:rsidRPr="009B2080">
        <w:rPr>
          <w:rFonts w:ascii="Times New Roman" w:hAnsi="Times New Roman" w:cs="Times New Roman"/>
          <w:sz w:val="28"/>
          <w:szCs w:val="28"/>
        </w:rPr>
        <w:t>approved,</w:t>
      </w:r>
      <w:r w:rsidR="004704C1" w:rsidRPr="009B2080">
        <w:rPr>
          <w:rFonts w:ascii="Times New Roman" w:hAnsi="Times New Roman" w:cs="Times New Roman"/>
          <w:sz w:val="28"/>
          <w:szCs w:val="28"/>
        </w:rPr>
        <w:t xml:space="preserve"> and funding made available through appeals</w:t>
      </w:r>
      <w:r w:rsidR="000D6754" w:rsidRPr="009B2080">
        <w:rPr>
          <w:rFonts w:ascii="Times New Roman" w:hAnsi="Times New Roman" w:cs="Times New Roman"/>
          <w:sz w:val="28"/>
          <w:szCs w:val="28"/>
        </w:rPr>
        <w:t>,</w:t>
      </w:r>
      <w:r w:rsidR="004704C1" w:rsidRPr="009B2080">
        <w:rPr>
          <w:rFonts w:ascii="Times New Roman" w:hAnsi="Times New Roman" w:cs="Times New Roman"/>
          <w:sz w:val="28"/>
          <w:szCs w:val="28"/>
        </w:rPr>
        <w:t xml:space="preserve"> which ended in mid-2017</w:t>
      </w:r>
      <w:r w:rsidR="000D6754" w:rsidRPr="009B2080">
        <w:rPr>
          <w:rFonts w:ascii="Times New Roman" w:hAnsi="Times New Roman" w:cs="Times New Roman"/>
          <w:sz w:val="28"/>
          <w:szCs w:val="28"/>
        </w:rPr>
        <w:t>,</w:t>
      </w:r>
      <w:r w:rsidR="004704C1" w:rsidRPr="009B2080">
        <w:rPr>
          <w:rFonts w:ascii="Times New Roman" w:hAnsi="Times New Roman" w:cs="Times New Roman"/>
          <w:sz w:val="28"/>
          <w:szCs w:val="28"/>
        </w:rPr>
        <w:t xml:space="preserve"> though there were still challenges in terms of meeting the planned budgets. </w:t>
      </w:r>
      <w:r w:rsidR="00C6192E" w:rsidRPr="009B2080">
        <w:rPr>
          <w:rFonts w:ascii="Times New Roman" w:hAnsi="Times New Roman" w:cs="Times New Roman"/>
          <w:sz w:val="28"/>
          <w:szCs w:val="28"/>
        </w:rPr>
        <w:t>A forward-</w:t>
      </w:r>
      <w:r w:rsidR="004704C1" w:rsidRPr="009B2080">
        <w:rPr>
          <w:rFonts w:ascii="Times New Roman" w:hAnsi="Times New Roman" w:cs="Times New Roman"/>
          <w:sz w:val="28"/>
          <w:szCs w:val="28"/>
        </w:rPr>
        <w:t xml:space="preserve">looking plan is already in place with appeals and strategies like putting </w:t>
      </w:r>
      <w:r w:rsidR="000D6754" w:rsidRPr="009B2080">
        <w:rPr>
          <w:rFonts w:ascii="Times New Roman" w:hAnsi="Times New Roman" w:cs="Times New Roman"/>
          <w:sz w:val="28"/>
          <w:szCs w:val="28"/>
        </w:rPr>
        <w:t>ECHO Humanitarian Implementation Plan (</w:t>
      </w:r>
      <w:r w:rsidR="004704C1" w:rsidRPr="009B2080">
        <w:rPr>
          <w:rFonts w:ascii="Times New Roman" w:hAnsi="Times New Roman" w:cs="Times New Roman"/>
          <w:sz w:val="28"/>
          <w:szCs w:val="28"/>
        </w:rPr>
        <w:t>HIP</w:t>
      </w:r>
      <w:r w:rsidR="000D6754" w:rsidRPr="009B2080">
        <w:rPr>
          <w:rFonts w:ascii="Times New Roman" w:hAnsi="Times New Roman" w:cs="Times New Roman"/>
          <w:sz w:val="28"/>
          <w:szCs w:val="28"/>
        </w:rPr>
        <w:t>)</w:t>
      </w:r>
      <w:r w:rsidR="004704C1" w:rsidRPr="009B2080">
        <w:rPr>
          <w:rFonts w:ascii="Times New Roman" w:hAnsi="Times New Roman" w:cs="Times New Roman"/>
          <w:sz w:val="28"/>
          <w:szCs w:val="28"/>
        </w:rPr>
        <w:t xml:space="preserve"> 2018 application in place. Also, </w:t>
      </w:r>
      <w:r w:rsidR="000D6754" w:rsidRPr="009B2080">
        <w:rPr>
          <w:rFonts w:ascii="Times New Roman" w:hAnsi="Times New Roman" w:cs="Times New Roman"/>
          <w:sz w:val="28"/>
          <w:szCs w:val="28"/>
        </w:rPr>
        <w:t xml:space="preserve">a </w:t>
      </w:r>
      <w:r w:rsidR="004704C1" w:rsidRPr="009B2080">
        <w:rPr>
          <w:rFonts w:ascii="Times New Roman" w:hAnsi="Times New Roman" w:cs="Times New Roman"/>
          <w:sz w:val="28"/>
          <w:szCs w:val="28"/>
        </w:rPr>
        <w:t>partners</w:t>
      </w:r>
      <w:r w:rsidR="00C6192E" w:rsidRPr="009B2080">
        <w:rPr>
          <w:rFonts w:ascii="Times New Roman" w:hAnsi="Times New Roman" w:cs="Times New Roman"/>
          <w:sz w:val="28"/>
          <w:szCs w:val="28"/>
        </w:rPr>
        <w:t>’</w:t>
      </w:r>
      <w:r w:rsidR="004704C1" w:rsidRPr="009B2080">
        <w:rPr>
          <w:rFonts w:ascii="Times New Roman" w:hAnsi="Times New Roman" w:cs="Times New Roman"/>
          <w:sz w:val="28"/>
          <w:szCs w:val="28"/>
        </w:rPr>
        <w:t xml:space="preserve"> meeting </w:t>
      </w:r>
      <w:r w:rsidR="000D6754" w:rsidRPr="009B2080">
        <w:rPr>
          <w:rFonts w:ascii="Times New Roman" w:hAnsi="Times New Roman" w:cs="Times New Roman"/>
          <w:sz w:val="28"/>
          <w:szCs w:val="28"/>
        </w:rPr>
        <w:t xml:space="preserve">was </w:t>
      </w:r>
      <w:r w:rsidR="004704C1" w:rsidRPr="009B2080">
        <w:rPr>
          <w:rFonts w:ascii="Times New Roman" w:hAnsi="Times New Roman" w:cs="Times New Roman"/>
          <w:sz w:val="28"/>
          <w:szCs w:val="28"/>
        </w:rPr>
        <w:t>held in March 2017</w:t>
      </w:r>
      <w:r w:rsidR="000D6754" w:rsidRPr="009B2080">
        <w:rPr>
          <w:rFonts w:ascii="Times New Roman" w:hAnsi="Times New Roman" w:cs="Times New Roman"/>
          <w:sz w:val="28"/>
          <w:szCs w:val="28"/>
        </w:rPr>
        <w:t>,</w:t>
      </w:r>
      <w:r w:rsidR="004704C1" w:rsidRPr="009B2080">
        <w:rPr>
          <w:rFonts w:ascii="Times New Roman" w:hAnsi="Times New Roman" w:cs="Times New Roman"/>
          <w:sz w:val="28"/>
          <w:szCs w:val="28"/>
        </w:rPr>
        <w:t xml:space="preserve"> to rally support towards chronic food insecurity but this has not been sustained. There </w:t>
      </w:r>
      <w:r w:rsidR="004604E2" w:rsidRPr="009B2080">
        <w:rPr>
          <w:rFonts w:ascii="Times New Roman" w:hAnsi="Times New Roman" w:cs="Times New Roman"/>
          <w:sz w:val="28"/>
          <w:szCs w:val="28"/>
        </w:rPr>
        <w:t>were</w:t>
      </w:r>
      <w:r w:rsidR="004704C1" w:rsidRPr="009B2080">
        <w:rPr>
          <w:rFonts w:ascii="Times New Roman" w:hAnsi="Times New Roman" w:cs="Times New Roman"/>
          <w:sz w:val="28"/>
          <w:szCs w:val="28"/>
        </w:rPr>
        <w:t xml:space="preserve"> significant results </w:t>
      </w:r>
      <w:r w:rsidR="00DD6BCB">
        <w:rPr>
          <w:rFonts w:ascii="Times New Roman" w:hAnsi="Times New Roman" w:cs="Times New Roman"/>
          <w:sz w:val="28"/>
          <w:szCs w:val="28"/>
        </w:rPr>
        <w:t>on</w:t>
      </w:r>
      <w:r w:rsidR="004704C1" w:rsidRPr="009B2080">
        <w:rPr>
          <w:rFonts w:ascii="Times New Roman" w:hAnsi="Times New Roman" w:cs="Times New Roman"/>
          <w:sz w:val="28"/>
          <w:szCs w:val="28"/>
        </w:rPr>
        <w:t xml:space="preserve"> improving the livelihoods of women and men with </w:t>
      </w:r>
      <w:r w:rsidR="00C6192E" w:rsidRPr="009B2080">
        <w:rPr>
          <w:rFonts w:ascii="Times New Roman" w:hAnsi="Times New Roman" w:cs="Times New Roman"/>
          <w:sz w:val="28"/>
          <w:szCs w:val="28"/>
        </w:rPr>
        <w:t>Liberia National Red Cross Society (</w:t>
      </w:r>
      <w:r w:rsidR="004704C1" w:rsidRPr="009B2080">
        <w:rPr>
          <w:rFonts w:ascii="Times New Roman" w:hAnsi="Times New Roman" w:cs="Times New Roman"/>
          <w:sz w:val="28"/>
          <w:szCs w:val="28"/>
        </w:rPr>
        <w:t>LNRCS</w:t>
      </w:r>
      <w:r w:rsidR="00C6192E" w:rsidRPr="009B2080">
        <w:rPr>
          <w:rFonts w:ascii="Times New Roman" w:hAnsi="Times New Roman" w:cs="Times New Roman"/>
          <w:sz w:val="28"/>
          <w:szCs w:val="28"/>
        </w:rPr>
        <w:t>)</w:t>
      </w:r>
      <w:r w:rsidR="004704C1" w:rsidRPr="009B2080">
        <w:rPr>
          <w:rFonts w:ascii="Times New Roman" w:hAnsi="Times New Roman" w:cs="Times New Roman"/>
          <w:sz w:val="28"/>
          <w:szCs w:val="28"/>
        </w:rPr>
        <w:t xml:space="preserve"> reporting successful implementation of vocational skills programme through its CDP project in the South </w:t>
      </w:r>
      <w:r w:rsidR="004604E2" w:rsidRPr="009B2080">
        <w:rPr>
          <w:rFonts w:ascii="Times New Roman" w:hAnsi="Times New Roman" w:cs="Times New Roman"/>
          <w:sz w:val="28"/>
          <w:szCs w:val="28"/>
        </w:rPr>
        <w:t>East and Women Empowerment programme in Monrovia. Finally, drought response programme was conducted through cash transfer approach.</w:t>
      </w:r>
    </w:p>
    <w:p w14:paraId="3BDE0756" w14:textId="77777777" w:rsidR="00816C66" w:rsidRPr="009B2080" w:rsidRDefault="00816C66" w:rsidP="009B2080">
      <w:pPr>
        <w:spacing w:after="0" w:line="240" w:lineRule="auto"/>
        <w:jc w:val="both"/>
        <w:rPr>
          <w:rFonts w:ascii="Times New Roman" w:hAnsi="Times New Roman" w:cs="Times New Roman"/>
          <w:b/>
          <w:sz w:val="28"/>
          <w:szCs w:val="28"/>
        </w:rPr>
      </w:pPr>
    </w:p>
    <w:p w14:paraId="4FCC3C2B" w14:textId="77777777" w:rsidR="0008205F" w:rsidRPr="009B2080" w:rsidRDefault="0008205F"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AOF</w:t>
      </w:r>
      <w:r w:rsidR="00571CED" w:rsidRPr="009B2080">
        <w:rPr>
          <w:rFonts w:ascii="Times New Roman" w:hAnsi="Times New Roman" w:cs="Times New Roman"/>
          <w:b/>
          <w:sz w:val="28"/>
          <w:szCs w:val="28"/>
        </w:rPr>
        <w:t xml:space="preserve"> 4</w:t>
      </w:r>
      <w:r w:rsidRPr="009B2080">
        <w:rPr>
          <w:rFonts w:ascii="Times New Roman" w:hAnsi="Times New Roman" w:cs="Times New Roman"/>
          <w:b/>
          <w:sz w:val="28"/>
          <w:szCs w:val="28"/>
        </w:rPr>
        <w:t>: HEALTH AND CARE</w:t>
      </w:r>
    </w:p>
    <w:p w14:paraId="692D13DD" w14:textId="77777777" w:rsidR="00762B84" w:rsidRPr="009B2080" w:rsidRDefault="00762B84" w:rsidP="009B2080">
      <w:pPr>
        <w:spacing w:after="0" w:line="240" w:lineRule="auto"/>
        <w:jc w:val="both"/>
        <w:rPr>
          <w:rFonts w:ascii="Times New Roman" w:hAnsi="Times New Roman" w:cs="Times New Roman"/>
          <w:b/>
          <w:sz w:val="28"/>
          <w:szCs w:val="28"/>
        </w:rPr>
      </w:pPr>
    </w:p>
    <w:p w14:paraId="15CDEEC3" w14:textId="77777777" w:rsidR="001F6BF2" w:rsidRPr="009B2080" w:rsidRDefault="00762B84"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Health and care had a score rating of 2.7 out 5 which is average performance against the set target. Key milestones reviewed under health care included: </w:t>
      </w:r>
      <w:r w:rsidR="003B1E34" w:rsidRPr="009B2080">
        <w:rPr>
          <w:rFonts w:ascii="Times New Roman" w:hAnsi="Times New Roman" w:cs="Times New Roman"/>
          <w:sz w:val="28"/>
          <w:szCs w:val="28"/>
        </w:rPr>
        <w:t>e</w:t>
      </w:r>
      <w:r w:rsidRPr="009B2080">
        <w:rPr>
          <w:rFonts w:ascii="Times New Roman" w:hAnsi="Times New Roman" w:cs="Times New Roman"/>
          <w:sz w:val="28"/>
          <w:szCs w:val="28"/>
        </w:rPr>
        <w:t xml:space="preserve">stablishing a shared Leadership Group to provide expertise and guidance on Emergency Health, </w:t>
      </w:r>
      <w:r w:rsidR="00C5783A" w:rsidRPr="009B2080">
        <w:rPr>
          <w:rFonts w:ascii="Times New Roman" w:hAnsi="Times New Roman" w:cs="Times New Roman"/>
          <w:sz w:val="28"/>
          <w:szCs w:val="28"/>
        </w:rPr>
        <w:t xml:space="preserve">specifically </w:t>
      </w:r>
      <w:r w:rsidRPr="009B2080">
        <w:rPr>
          <w:rFonts w:ascii="Times New Roman" w:hAnsi="Times New Roman" w:cs="Times New Roman"/>
          <w:sz w:val="28"/>
          <w:szCs w:val="28"/>
        </w:rPr>
        <w:t xml:space="preserve">for HIV/AIDS in Southern Africa, </w:t>
      </w:r>
      <w:r w:rsidR="001F6BF2" w:rsidRPr="009B2080">
        <w:rPr>
          <w:rFonts w:ascii="Times New Roman" w:hAnsi="Times New Roman" w:cs="Times New Roman"/>
          <w:sz w:val="28"/>
          <w:szCs w:val="28"/>
        </w:rPr>
        <w:t>e</w:t>
      </w:r>
      <w:r w:rsidRPr="009B2080">
        <w:rPr>
          <w:rFonts w:ascii="Times New Roman" w:hAnsi="Times New Roman" w:cs="Times New Roman"/>
          <w:sz w:val="28"/>
          <w:szCs w:val="28"/>
        </w:rPr>
        <w:t xml:space="preserve">stablishing a partnership on epidemic preparedness </w:t>
      </w:r>
      <w:r w:rsidR="00C5783A" w:rsidRPr="009B2080">
        <w:rPr>
          <w:rFonts w:ascii="Times New Roman" w:hAnsi="Times New Roman" w:cs="Times New Roman"/>
          <w:sz w:val="28"/>
          <w:szCs w:val="28"/>
        </w:rPr>
        <w:t xml:space="preserve">and </w:t>
      </w:r>
      <w:r w:rsidRPr="009B2080">
        <w:rPr>
          <w:rFonts w:ascii="Times New Roman" w:hAnsi="Times New Roman" w:cs="Times New Roman"/>
          <w:sz w:val="28"/>
          <w:szCs w:val="28"/>
        </w:rPr>
        <w:t xml:space="preserve">prevention around greatest health risk, e.g. Cholera, </w:t>
      </w:r>
      <w:r w:rsidR="001F6BF2" w:rsidRPr="009B2080">
        <w:rPr>
          <w:rFonts w:ascii="Times New Roman" w:hAnsi="Times New Roman" w:cs="Times New Roman"/>
          <w:sz w:val="28"/>
          <w:szCs w:val="28"/>
        </w:rPr>
        <w:t>i</w:t>
      </w:r>
      <w:r w:rsidRPr="009B2080">
        <w:rPr>
          <w:rFonts w:ascii="Times New Roman" w:hAnsi="Times New Roman" w:cs="Times New Roman"/>
          <w:sz w:val="28"/>
          <w:szCs w:val="28"/>
        </w:rPr>
        <w:t xml:space="preserve">mproving the capacity of </w:t>
      </w:r>
      <w:r w:rsidR="00C5783A" w:rsidRPr="009B2080">
        <w:rPr>
          <w:rFonts w:ascii="Times New Roman" w:hAnsi="Times New Roman" w:cs="Times New Roman"/>
          <w:sz w:val="28"/>
          <w:szCs w:val="28"/>
        </w:rPr>
        <w:t xml:space="preserve">over five </w:t>
      </w:r>
      <w:r w:rsidRPr="009B2080">
        <w:rPr>
          <w:rFonts w:ascii="Times New Roman" w:hAnsi="Times New Roman" w:cs="Times New Roman"/>
          <w:sz w:val="28"/>
          <w:szCs w:val="28"/>
        </w:rPr>
        <w:t>NS</w:t>
      </w:r>
      <w:r w:rsidR="001F6BF2" w:rsidRPr="009B2080">
        <w:rPr>
          <w:rFonts w:ascii="Times New Roman" w:hAnsi="Times New Roman" w:cs="Times New Roman"/>
          <w:sz w:val="28"/>
          <w:szCs w:val="28"/>
        </w:rPr>
        <w:t>s</w:t>
      </w:r>
      <w:r w:rsidRPr="009B2080">
        <w:rPr>
          <w:rFonts w:ascii="Times New Roman" w:hAnsi="Times New Roman" w:cs="Times New Roman"/>
          <w:sz w:val="28"/>
          <w:szCs w:val="28"/>
        </w:rPr>
        <w:t xml:space="preserve"> for epidemic alert and response capacity through community based surveillance and volunteer outreach, focussing on Ebola affected countries, </w:t>
      </w:r>
      <w:r w:rsidR="001F6BF2" w:rsidRPr="009B2080">
        <w:rPr>
          <w:rFonts w:ascii="Times New Roman" w:hAnsi="Times New Roman" w:cs="Times New Roman"/>
          <w:sz w:val="28"/>
          <w:szCs w:val="28"/>
        </w:rPr>
        <w:t>w</w:t>
      </w:r>
      <w:r w:rsidRPr="009B2080">
        <w:rPr>
          <w:rFonts w:ascii="Times New Roman" w:hAnsi="Times New Roman" w:cs="Times New Roman"/>
          <w:sz w:val="28"/>
          <w:szCs w:val="28"/>
        </w:rPr>
        <w:t xml:space="preserve">orking with relevant partners to enhance technology use and leverage volunteer reach in </w:t>
      </w:r>
      <w:r w:rsidR="00C5783A" w:rsidRPr="009B2080">
        <w:rPr>
          <w:rFonts w:ascii="Times New Roman" w:hAnsi="Times New Roman" w:cs="Times New Roman"/>
          <w:sz w:val="28"/>
          <w:szCs w:val="28"/>
        </w:rPr>
        <w:t>over five</w:t>
      </w:r>
      <w:r w:rsidRPr="009B2080">
        <w:rPr>
          <w:rFonts w:ascii="Times New Roman" w:hAnsi="Times New Roman" w:cs="Times New Roman"/>
          <w:sz w:val="28"/>
          <w:szCs w:val="28"/>
        </w:rPr>
        <w:t xml:space="preserve"> countries to digitize data collection </w:t>
      </w:r>
      <w:r w:rsidR="00C5783A" w:rsidRPr="009B2080">
        <w:rPr>
          <w:rFonts w:ascii="Times New Roman" w:hAnsi="Times New Roman" w:cs="Times New Roman"/>
          <w:sz w:val="28"/>
          <w:szCs w:val="28"/>
        </w:rPr>
        <w:t xml:space="preserve">and </w:t>
      </w:r>
      <w:r w:rsidRPr="009B2080">
        <w:rPr>
          <w:rFonts w:ascii="Times New Roman" w:hAnsi="Times New Roman" w:cs="Times New Roman"/>
          <w:sz w:val="28"/>
          <w:szCs w:val="28"/>
        </w:rPr>
        <w:t>connect volunteer</w:t>
      </w:r>
      <w:r w:rsidR="000E27B9" w:rsidRPr="009B2080">
        <w:rPr>
          <w:rFonts w:ascii="Times New Roman" w:hAnsi="Times New Roman" w:cs="Times New Roman"/>
          <w:sz w:val="28"/>
          <w:szCs w:val="28"/>
        </w:rPr>
        <w:t>s</w:t>
      </w:r>
      <w:r w:rsidRPr="009B2080">
        <w:rPr>
          <w:rFonts w:ascii="Times New Roman" w:hAnsi="Times New Roman" w:cs="Times New Roman"/>
          <w:sz w:val="28"/>
          <w:szCs w:val="28"/>
        </w:rPr>
        <w:t xml:space="preserve"> in health projects, </w:t>
      </w:r>
      <w:r w:rsidR="001F6BF2" w:rsidRPr="009B2080">
        <w:rPr>
          <w:rFonts w:ascii="Times New Roman" w:hAnsi="Times New Roman" w:cs="Times New Roman"/>
          <w:sz w:val="28"/>
          <w:szCs w:val="28"/>
        </w:rPr>
        <w:t>i</w:t>
      </w:r>
      <w:r w:rsidRPr="009B2080">
        <w:rPr>
          <w:rFonts w:ascii="Times New Roman" w:hAnsi="Times New Roman" w:cs="Times New Roman"/>
          <w:sz w:val="28"/>
          <w:szCs w:val="28"/>
        </w:rPr>
        <w:t xml:space="preserve">mproving access to health services through innovative partnerships and </w:t>
      </w:r>
      <w:r w:rsidR="001F6BF2" w:rsidRPr="009B2080">
        <w:rPr>
          <w:rFonts w:ascii="Times New Roman" w:hAnsi="Times New Roman" w:cs="Times New Roman"/>
          <w:sz w:val="28"/>
          <w:szCs w:val="28"/>
        </w:rPr>
        <w:t>Community-based health and first aid (</w:t>
      </w:r>
      <w:r w:rsidRPr="009B2080">
        <w:rPr>
          <w:rFonts w:ascii="Times New Roman" w:hAnsi="Times New Roman" w:cs="Times New Roman"/>
          <w:sz w:val="28"/>
          <w:szCs w:val="28"/>
        </w:rPr>
        <w:t>CBHFA</w:t>
      </w:r>
      <w:r w:rsidR="001F6BF2" w:rsidRPr="009B2080">
        <w:rPr>
          <w:rFonts w:ascii="Times New Roman" w:hAnsi="Times New Roman" w:cs="Times New Roman"/>
          <w:sz w:val="28"/>
          <w:szCs w:val="28"/>
        </w:rPr>
        <w:t>)</w:t>
      </w:r>
      <w:r w:rsidRPr="009B2080">
        <w:rPr>
          <w:rFonts w:ascii="Times New Roman" w:hAnsi="Times New Roman" w:cs="Times New Roman"/>
          <w:sz w:val="28"/>
          <w:szCs w:val="28"/>
        </w:rPr>
        <w:t xml:space="preserve"> in at least </w:t>
      </w:r>
      <w:r w:rsidR="00C5783A" w:rsidRPr="009B2080">
        <w:rPr>
          <w:rFonts w:ascii="Times New Roman" w:hAnsi="Times New Roman" w:cs="Times New Roman"/>
          <w:sz w:val="28"/>
          <w:szCs w:val="28"/>
        </w:rPr>
        <w:t xml:space="preserve">ten </w:t>
      </w:r>
      <w:r w:rsidRPr="009B2080">
        <w:rPr>
          <w:rFonts w:ascii="Times New Roman" w:hAnsi="Times New Roman" w:cs="Times New Roman"/>
          <w:sz w:val="28"/>
          <w:szCs w:val="28"/>
        </w:rPr>
        <w:t xml:space="preserve">countries, </w:t>
      </w:r>
      <w:r w:rsidR="001F6BF2" w:rsidRPr="009B2080">
        <w:rPr>
          <w:rFonts w:ascii="Times New Roman" w:hAnsi="Times New Roman" w:cs="Times New Roman"/>
          <w:sz w:val="28"/>
          <w:szCs w:val="28"/>
        </w:rPr>
        <w:t>i</w:t>
      </w:r>
      <w:r w:rsidRPr="009B2080">
        <w:rPr>
          <w:rFonts w:ascii="Times New Roman" w:hAnsi="Times New Roman" w:cs="Times New Roman"/>
          <w:sz w:val="28"/>
          <w:szCs w:val="28"/>
        </w:rPr>
        <w:t>nnovative HIV program</w:t>
      </w:r>
      <w:r w:rsidR="00C5783A" w:rsidRPr="009B2080">
        <w:rPr>
          <w:rFonts w:ascii="Times New Roman" w:hAnsi="Times New Roman" w:cs="Times New Roman"/>
          <w:sz w:val="28"/>
          <w:szCs w:val="28"/>
        </w:rPr>
        <w:t>me</w:t>
      </w:r>
      <w:r w:rsidRPr="009B2080">
        <w:rPr>
          <w:rFonts w:ascii="Times New Roman" w:hAnsi="Times New Roman" w:cs="Times New Roman"/>
          <w:sz w:val="28"/>
          <w:szCs w:val="28"/>
        </w:rPr>
        <w:t xml:space="preserve"> targeting adolescents and girls in </w:t>
      </w:r>
      <w:r w:rsidR="00C5783A" w:rsidRPr="009B2080">
        <w:rPr>
          <w:rFonts w:ascii="Times New Roman" w:hAnsi="Times New Roman" w:cs="Times New Roman"/>
          <w:sz w:val="28"/>
          <w:szCs w:val="28"/>
        </w:rPr>
        <w:t>over</w:t>
      </w:r>
      <w:r w:rsidRPr="009B2080">
        <w:rPr>
          <w:rFonts w:ascii="Times New Roman" w:hAnsi="Times New Roman" w:cs="Times New Roman"/>
          <w:sz w:val="28"/>
          <w:szCs w:val="28"/>
        </w:rPr>
        <w:t xml:space="preserve"> Southern African NS, </w:t>
      </w:r>
      <w:r w:rsidR="001F6BF2" w:rsidRPr="009B2080">
        <w:rPr>
          <w:rFonts w:ascii="Times New Roman" w:hAnsi="Times New Roman" w:cs="Times New Roman"/>
          <w:sz w:val="28"/>
          <w:szCs w:val="28"/>
        </w:rPr>
        <w:t>f</w:t>
      </w:r>
      <w:r w:rsidRPr="009B2080">
        <w:rPr>
          <w:rFonts w:ascii="Times New Roman" w:hAnsi="Times New Roman" w:cs="Times New Roman"/>
          <w:sz w:val="28"/>
          <w:szCs w:val="28"/>
        </w:rPr>
        <w:t xml:space="preserve">oster common rosters </w:t>
      </w:r>
      <w:r w:rsidR="00C5783A" w:rsidRPr="009B2080">
        <w:rPr>
          <w:rFonts w:ascii="Times New Roman" w:hAnsi="Times New Roman" w:cs="Times New Roman"/>
          <w:sz w:val="28"/>
          <w:szCs w:val="28"/>
        </w:rPr>
        <w:t xml:space="preserve">and </w:t>
      </w:r>
      <w:r w:rsidRPr="009B2080">
        <w:rPr>
          <w:rFonts w:ascii="Times New Roman" w:hAnsi="Times New Roman" w:cs="Times New Roman"/>
          <w:sz w:val="28"/>
          <w:szCs w:val="28"/>
        </w:rPr>
        <w:t>joint deployment plans with West Africa Health Org</w:t>
      </w:r>
      <w:r w:rsidR="00C5783A" w:rsidRPr="009B2080">
        <w:rPr>
          <w:rFonts w:ascii="Times New Roman" w:hAnsi="Times New Roman" w:cs="Times New Roman"/>
          <w:sz w:val="28"/>
          <w:szCs w:val="28"/>
        </w:rPr>
        <w:t>anization (WAHO)</w:t>
      </w:r>
      <w:r w:rsidRPr="009B2080">
        <w:rPr>
          <w:rFonts w:ascii="Times New Roman" w:hAnsi="Times New Roman" w:cs="Times New Roman"/>
          <w:sz w:val="28"/>
          <w:szCs w:val="28"/>
        </w:rPr>
        <w:t xml:space="preserve">, UNOCHA, AU and Movement partners, </w:t>
      </w:r>
      <w:r w:rsidR="001F6BF2" w:rsidRPr="009B2080">
        <w:rPr>
          <w:rFonts w:ascii="Times New Roman" w:hAnsi="Times New Roman" w:cs="Times New Roman"/>
          <w:sz w:val="28"/>
          <w:szCs w:val="28"/>
        </w:rPr>
        <w:t>e</w:t>
      </w:r>
      <w:r w:rsidRPr="009B2080">
        <w:rPr>
          <w:rFonts w:ascii="Times New Roman" w:hAnsi="Times New Roman" w:cs="Times New Roman"/>
          <w:sz w:val="28"/>
          <w:szCs w:val="28"/>
        </w:rPr>
        <w:t>stablish shared leadership group for HIV/AIDS in Southern Africa</w:t>
      </w:r>
      <w:r w:rsidR="001F6BF2" w:rsidRPr="009B2080">
        <w:rPr>
          <w:rFonts w:ascii="Times New Roman" w:hAnsi="Times New Roman" w:cs="Times New Roman"/>
          <w:sz w:val="28"/>
          <w:szCs w:val="28"/>
        </w:rPr>
        <w:t>.</w:t>
      </w:r>
    </w:p>
    <w:p w14:paraId="06B8FDDC" w14:textId="77777777" w:rsidR="001F6BF2" w:rsidRPr="009B2080" w:rsidRDefault="001F6BF2" w:rsidP="009B2080">
      <w:pPr>
        <w:spacing w:after="0" w:line="240" w:lineRule="auto"/>
        <w:jc w:val="both"/>
        <w:rPr>
          <w:rFonts w:ascii="Times New Roman" w:hAnsi="Times New Roman" w:cs="Times New Roman"/>
          <w:sz w:val="28"/>
          <w:szCs w:val="28"/>
        </w:rPr>
      </w:pPr>
    </w:p>
    <w:p w14:paraId="015FE1C0" w14:textId="7E736AA1" w:rsidR="00762B84" w:rsidRPr="009B2080" w:rsidRDefault="001F58D0" w:rsidP="009B2080">
      <w:pPr>
        <w:spacing w:after="0" w:line="240" w:lineRule="auto"/>
        <w:jc w:val="both"/>
        <w:rPr>
          <w:rFonts w:ascii="Times New Roman" w:hAnsi="Times New Roman" w:cs="Times New Roman"/>
          <w:color w:val="FF0000"/>
          <w:sz w:val="28"/>
          <w:szCs w:val="28"/>
        </w:rPr>
      </w:pPr>
      <w:r w:rsidRPr="009B2080">
        <w:rPr>
          <w:rFonts w:ascii="Times New Roman" w:hAnsi="Times New Roman" w:cs="Times New Roman"/>
          <w:sz w:val="28"/>
          <w:szCs w:val="28"/>
        </w:rPr>
        <w:t xml:space="preserve">There is no shared leadership Group for Southern Africa and it is not part of the </w:t>
      </w:r>
      <w:r w:rsidR="001F6BF2" w:rsidRPr="009B2080">
        <w:rPr>
          <w:rFonts w:ascii="Times New Roman" w:hAnsi="Times New Roman" w:cs="Times New Roman"/>
          <w:sz w:val="28"/>
          <w:szCs w:val="28"/>
        </w:rPr>
        <w:t>milestones,</w:t>
      </w:r>
      <w:r w:rsidRPr="009B2080">
        <w:rPr>
          <w:rFonts w:ascii="Times New Roman" w:hAnsi="Times New Roman" w:cs="Times New Roman"/>
          <w:sz w:val="28"/>
          <w:szCs w:val="28"/>
        </w:rPr>
        <w:t xml:space="preserve"> so this has been removed.</w:t>
      </w:r>
      <w:r w:rsidR="00E31565" w:rsidRPr="009B2080">
        <w:rPr>
          <w:rFonts w:ascii="Times New Roman" w:hAnsi="Times New Roman" w:cs="Times New Roman"/>
          <w:sz w:val="28"/>
          <w:szCs w:val="28"/>
        </w:rPr>
        <w:t xml:space="preserve"> </w:t>
      </w:r>
      <w:r w:rsidR="00CD399B" w:rsidRPr="009B2080">
        <w:rPr>
          <w:rFonts w:ascii="Times New Roman" w:hAnsi="Times New Roman" w:cs="Times New Roman"/>
          <w:sz w:val="28"/>
          <w:szCs w:val="28"/>
        </w:rPr>
        <w:t xml:space="preserve">Concerning epidemic preparedness, meetings with the Ministry of health in the SADC region </w:t>
      </w:r>
      <w:r w:rsidR="001F6BF2" w:rsidRPr="009B2080">
        <w:rPr>
          <w:rFonts w:ascii="Times New Roman" w:hAnsi="Times New Roman" w:cs="Times New Roman"/>
          <w:sz w:val="28"/>
          <w:szCs w:val="28"/>
        </w:rPr>
        <w:t>were</w:t>
      </w:r>
      <w:r w:rsidR="00CD399B" w:rsidRPr="009B2080">
        <w:rPr>
          <w:rFonts w:ascii="Times New Roman" w:hAnsi="Times New Roman" w:cs="Times New Roman"/>
          <w:sz w:val="28"/>
          <w:szCs w:val="28"/>
        </w:rPr>
        <w:t xml:space="preserve"> held</w:t>
      </w:r>
      <w:r w:rsidR="001F6BF2" w:rsidRPr="009B2080">
        <w:rPr>
          <w:rFonts w:ascii="Times New Roman" w:hAnsi="Times New Roman" w:cs="Times New Roman"/>
          <w:sz w:val="28"/>
          <w:szCs w:val="28"/>
        </w:rPr>
        <w:t>,</w:t>
      </w:r>
      <w:r w:rsidR="00CD399B" w:rsidRPr="009B2080">
        <w:rPr>
          <w:rFonts w:ascii="Times New Roman" w:hAnsi="Times New Roman" w:cs="Times New Roman"/>
          <w:sz w:val="28"/>
          <w:szCs w:val="28"/>
        </w:rPr>
        <w:t xml:space="preserve"> where preparedness on matters health risks epidemics such as cholera were discussed. This has also been strengthened through training on epidemic, preparedness and prevention for staff and volunteers in Somaliland and </w:t>
      </w:r>
      <w:r w:rsidR="00A61A2B" w:rsidRPr="009B2080">
        <w:rPr>
          <w:rFonts w:ascii="Times New Roman" w:hAnsi="Times New Roman" w:cs="Times New Roman"/>
          <w:sz w:val="28"/>
          <w:szCs w:val="28"/>
        </w:rPr>
        <w:t>Hargeisa</w:t>
      </w:r>
      <w:r w:rsidR="00CD399B" w:rsidRPr="009B2080">
        <w:rPr>
          <w:rFonts w:ascii="Times New Roman" w:hAnsi="Times New Roman" w:cs="Times New Roman"/>
          <w:sz w:val="28"/>
          <w:szCs w:val="28"/>
        </w:rPr>
        <w:t xml:space="preserve">. Significant step has been achieved in terms of recent partnership signed in Abidjan with WAHO (West Africa Health Organization-ECOWAS) besides prepositioning of relevant stock. IFRC has improved has improved the capacity of national societies for epidemic alert and response through strong CBS </w:t>
      </w:r>
      <w:r w:rsidR="00D46034" w:rsidRPr="009B2080">
        <w:rPr>
          <w:rFonts w:ascii="Times New Roman" w:hAnsi="Times New Roman" w:cs="Times New Roman"/>
          <w:sz w:val="28"/>
          <w:szCs w:val="28"/>
        </w:rPr>
        <w:t>initiatives</w:t>
      </w:r>
      <w:r w:rsidR="00CD399B" w:rsidRPr="009B2080">
        <w:rPr>
          <w:rFonts w:ascii="Times New Roman" w:hAnsi="Times New Roman" w:cs="Times New Roman"/>
          <w:sz w:val="28"/>
          <w:szCs w:val="28"/>
        </w:rPr>
        <w:t>.</w:t>
      </w:r>
      <w:r w:rsidR="00494B8C" w:rsidRPr="009B2080">
        <w:rPr>
          <w:rFonts w:ascii="Times New Roman" w:hAnsi="Times New Roman" w:cs="Times New Roman"/>
          <w:sz w:val="28"/>
          <w:szCs w:val="28"/>
        </w:rPr>
        <w:t xml:space="preserve"> </w:t>
      </w:r>
    </w:p>
    <w:p w14:paraId="56643BC5" w14:textId="77777777" w:rsidR="00494B8C" w:rsidRPr="009B2080" w:rsidRDefault="00494B8C" w:rsidP="009B2080">
      <w:pPr>
        <w:spacing w:after="0" w:line="240" w:lineRule="auto"/>
        <w:jc w:val="both"/>
        <w:rPr>
          <w:rFonts w:ascii="Times New Roman" w:hAnsi="Times New Roman" w:cs="Times New Roman"/>
          <w:sz w:val="28"/>
          <w:szCs w:val="28"/>
        </w:rPr>
      </w:pPr>
    </w:p>
    <w:p w14:paraId="1A198D44" w14:textId="79F61977" w:rsidR="001F58D0" w:rsidRPr="009B2080" w:rsidRDefault="00494B8C"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was significant progress in leveraging technology through working with relevant partners to digitize data collection and connect volunteers. This was achieved through </w:t>
      </w:r>
      <w:r w:rsidR="00294601" w:rsidRPr="009B2080">
        <w:rPr>
          <w:rFonts w:ascii="Times New Roman" w:hAnsi="Times New Roman" w:cs="Times New Roman"/>
          <w:sz w:val="28"/>
          <w:szCs w:val="28"/>
        </w:rPr>
        <w:t xml:space="preserve">the </w:t>
      </w:r>
      <w:r w:rsidRPr="009B2080">
        <w:rPr>
          <w:rFonts w:ascii="Times New Roman" w:hAnsi="Times New Roman" w:cs="Times New Roman"/>
          <w:sz w:val="28"/>
          <w:szCs w:val="28"/>
        </w:rPr>
        <w:t xml:space="preserve">engagement </w:t>
      </w:r>
      <w:r w:rsidR="00294601" w:rsidRPr="009B2080">
        <w:rPr>
          <w:rFonts w:ascii="Times New Roman" w:hAnsi="Times New Roman" w:cs="Times New Roman"/>
          <w:sz w:val="28"/>
          <w:szCs w:val="28"/>
        </w:rPr>
        <w:t xml:space="preserve">of IFRC’s WASH </w:t>
      </w:r>
      <w:r w:rsidR="00A61A2B" w:rsidRPr="009B2080">
        <w:rPr>
          <w:rFonts w:ascii="Times New Roman" w:hAnsi="Times New Roman" w:cs="Times New Roman"/>
          <w:sz w:val="28"/>
          <w:szCs w:val="28"/>
        </w:rPr>
        <w:t>(</w:t>
      </w:r>
      <w:r w:rsidR="00A61A2B" w:rsidRPr="009B2080">
        <w:rPr>
          <w:rFonts w:ascii="Times New Roman" w:hAnsi="Times New Roman" w:cs="Times New Roman"/>
          <w:color w:val="222222"/>
          <w:sz w:val="28"/>
          <w:szCs w:val="28"/>
          <w:shd w:val="clear" w:color="auto" w:fill="FFFFFF"/>
        </w:rPr>
        <w:t>Water, Sanitation and Hygiene</w:t>
      </w:r>
      <w:r w:rsidR="00A61A2B" w:rsidRPr="009B2080">
        <w:rPr>
          <w:rFonts w:ascii="Times New Roman" w:hAnsi="Times New Roman" w:cs="Times New Roman"/>
          <w:sz w:val="28"/>
          <w:szCs w:val="28"/>
        </w:rPr>
        <w:t xml:space="preserve">) </w:t>
      </w:r>
      <w:r w:rsidR="00B70915" w:rsidRPr="009B2080">
        <w:rPr>
          <w:rFonts w:ascii="Times New Roman" w:hAnsi="Times New Roman" w:cs="Times New Roman"/>
          <w:sz w:val="28"/>
          <w:szCs w:val="28"/>
        </w:rPr>
        <w:t xml:space="preserve">team </w:t>
      </w:r>
      <w:r w:rsidRPr="009B2080">
        <w:rPr>
          <w:rFonts w:ascii="Times New Roman" w:hAnsi="Times New Roman" w:cs="Times New Roman"/>
          <w:sz w:val="28"/>
          <w:szCs w:val="28"/>
        </w:rPr>
        <w:t xml:space="preserve">with </w:t>
      </w:r>
      <w:r w:rsidRPr="009B2080">
        <w:rPr>
          <w:rFonts w:ascii="Times New Roman" w:hAnsi="Times New Roman" w:cs="Times New Roman"/>
          <w:i/>
          <w:sz w:val="28"/>
          <w:szCs w:val="28"/>
        </w:rPr>
        <w:t>salesforce</w:t>
      </w:r>
      <w:r w:rsidRPr="009B2080">
        <w:rPr>
          <w:rFonts w:ascii="Times New Roman" w:hAnsi="Times New Roman" w:cs="Times New Roman"/>
          <w:sz w:val="28"/>
          <w:szCs w:val="28"/>
        </w:rPr>
        <w:t xml:space="preserve"> and </w:t>
      </w:r>
      <w:r w:rsidRPr="009B2080">
        <w:rPr>
          <w:rFonts w:ascii="Times New Roman" w:hAnsi="Times New Roman" w:cs="Times New Roman"/>
          <w:i/>
          <w:sz w:val="28"/>
          <w:szCs w:val="28"/>
        </w:rPr>
        <w:t>magpi</w:t>
      </w:r>
      <w:r w:rsidRPr="009B2080">
        <w:rPr>
          <w:rFonts w:ascii="Times New Roman" w:hAnsi="Times New Roman" w:cs="Times New Roman"/>
          <w:sz w:val="28"/>
          <w:szCs w:val="28"/>
        </w:rPr>
        <w:t xml:space="preserve"> as well as working with </w:t>
      </w:r>
      <w:r w:rsidR="00DD6BCB" w:rsidRPr="009B2080">
        <w:rPr>
          <w:rFonts w:ascii="Times New Roman" w:hAnsi="Times New Roman" w:cs="Times New Roman"/>
          <w:i/>
          <w:sz w:val="28"/>
          <w:szCs w:val="28"/>
        </w:rPr>
        <w:t>Connnectik</w:t>
      </w:r>
      <w:r w:rsidR="00A61A2B" w:rsidRPr="009B2080">
        <w:rPr>
          <w:rFonts w:ascii="Times New Roman" w:hAnsi="Times New Roman" w:cs="Times New Roman"/>
          <w:sz w:val="28"/>
          <w:szCs w:val="28"/>
        </w:rPr>
        <w:t>,</w:t>
      </w:r>
      <w:r w:rsidRPr="009B2080">
        <w:rPr>
          <w:rFonts w:ascii="Times New Roman" w:hAnsi="Times New Roman" w:cs="Times New Roman"/>
          <w:sz w:val="28"/>
          <w:szCs w:val="28"/>
        </w:rPr>
        <w:t xml:space="preserve"> indirectly through National Societies.</w:t>
      </w:r>
      <w:r w:rsidR="001F58D0" w:rsidRPr="009B2080">
        <w:rPr>
          <w:rFonts w:ascii="Times New Roman" w:hAnsi="Times New Roman" w:cs="Times New Roman"/>
          <w:sz w:val="28"/>
          <w:szCs w:val="28"/>
        </w:rPr>
        <w:t xml:space="preserve"> </w:t>
      </w:r>
    </w:p>
    <w:p w14:paraId="614D1A54" w14:textId="1284F556" w:rsidR="001F58D0" w:rsidRPr="009B2080" w:rsidRDefault="001F58D0"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Innovative partnerships have been formed with </w:t>
      </w:r>
      <w:r w:rsidR="00DD6BCB" w:rsidRPr="009B2080">
        <w:rPr>
          <w:rFonts w:ascii="Times New Roman" w:hAnsi="Times New Roman" w:cs="Times New Roman"/>
          <w:i/>
          <w:sz w:val="28"/>
          <w:szCs w:val="28"/>
        </w:rPr>
        <w:t>MPharma</w:t>
      </w:r>
      <w:r w:rsidRPr="009B2080">
        <w:rPr>
          <w:rFonts w:ascii="Times New Roman" w:hAnsi="Times New Roman" w:cs="Times New Roman"/>
          <w:sz w:val="28"/>
          <w:szCs w:val="28"/>
        </w:rPr>
        <w:t xml:space="preserve">, </w:t>
      </w:r>
      <w:r w:rsidRPr="009B2080">
        <w:rPr>
          <w:rFonts w:ascii="Times New Roman" w:hAnsi="Times New Roman" w:cs="Times New Roman"/>
          <w:i/>
          <w:sz w:val="28"/>
          <w:szCs w:val="28"/>
        </w:rPr>
        <w:t>Philips</w:t>
      </w:r>
      <w:r w:rsidRPr="009B2080">
        <w:rPr>
          <w:rFonts w:ascii="Times New Roman" w:hAnsi="Times New Roman" w:cs="Times New Roman"/>
          <w:sz w:val="28"/>
          <w:szCs w:val="28"/>
        </w:rPr>
        <w:t xml:space="preserve"> and </w:t>
      </w:r>
      <w:r w:rsidRPr="009B2080">
        <w:rPr>
          <w:rFonts w:ascii="Times New Roman" w:hAnsi="Times New Roman" w:cs="Times New Roman"/>
          <w:i/>
          <w:sz w:val="28"/>
          <w:szCs w:val="28"/>
        </w:rPr>
        <w:t>Empower</w:t>
      </w:r>
      <w:r w:rsidRPr="009B2080">
        <w:rPr>
          <w:rFonts w:ascii="Times New Roman" w:hAnsi="Times New Roman" w:cs="Times New Roman"/>
          <w:sz w:val="28"/>
          <w:szCs w:val="28"/>
        </w:rPr>
        <w:t>. Zimbabwe R</w:t>
      </w:r>
      <w:r w:rsidR="00A61A2B" w:rsidRPr="009B2080">
        <w:rPr>
          <w:rFonts w:ascii="Times New Roman" w:hAnsi="Times New Roman" w:cs="Times New Roman"/>
          <w:sz w:val="28"/>
          <w:szCs w:val="28"/>
        </w:rPr>
        <w:t xml:space="preserve">ed </w:t>
      </w:r>
      <w:r w:rsidRPr="009B2080">
        <w:rPr>
          <w:rFonts w:ascii="Times New Roman" w:hAnsi="Times New Roman" w:cs="Times New Roman"/>
          <w:sz w:val="28"/>
          <w:szCs w:val="28"/>
        </w:rPr>
        <w:t>C</w:t>
      </w:r>
      <w:r w:rsidR="00A61A2B" w:rsidRPr="009B2080">
        <w:rPr>
          <w:rFonts w:ascii="Times New Roman" w:hAnsi="Times New Roman" w:cs="Times New Roman"/>
          <w:sz w:val="28"/>
          <w:szCs w:val="28"/>
        </w:rPr>
        <w:t>ross</w:t>
      </w:r>
      <w:r w:rsidRPr="009B2080">
        <w:rPr>
          <w:rFonts w:ascii="Times New Roman" w:hAnsi="Times New Roman" w:cs="Times New Roman"/>
          <w:sz w:val="28"/>
          <w:szCs w:val="28"/>
        </w:rPr>
        <w:t xml:space="preserve"> and </w:t>
      </w:r>
      <w:r w:rsidR="00DD6BCB" w:rsidRPr="009B2080">
        <w:rPr>
          <w:rFonts w:ascii="Times New Roman" w:hAnsi="Times New Roman" w:cs="Times New Roman"/>
          <w:i/>
          <w:sz w:val="28"/>
          <w:szCs w:val="28"/>
        </w:rPr>
        <w:t>MPharma</w:t>
      </w:r>
      <w:r w:rsidRPr="009B2080">
        <w:rPr>
          <w:rFonts w:ascii="Times New Roman" w:hAnsi="Times New Roman" w:cs="Times New Roman"/>
          <w:sz w:val="28"/>
          <w:szCs w:val="28"/>
        </w:rPr>
        <w:t xml:space="preserve"> opened their joint pharmacy services in the end of the year. </w:t>
      </w:r>
      <w:r w:rsidR="00C21843" w:rsidRPr="009B2080">
        <w:rPr>
          <w:rFonts w:ascii="Times New Roman" w:hAnsi="Times New Roman" w:cs="Times New Roman"/>
          <w:sz w:val="28"/>
          <w:szCs w:val="28"/>
        </w:rPr>
        <w:t xml:space="preserve">A </w:t>
      </w:r>
      <w:r w:rsidRPr="009B2080">
        <w:rPr>
          <w:rFonts w:ascii="Times New Roman" w:hAnsi="Times New Roman" w:cs="Times New Roman"/>
          <w:sz w:val="28"/>
          <w:szCs w:val="28"/>
        </w:rPr>
        <w:t xml:space="preserve">CBHFA workshop took place in Zimbabwe in September with </w:t>
      </w:r>
      <w:r w:rsidR="00C21843" w:rsidRPr="009B2080">
        <w:rPr>
          <w:rFonts w:ascii="Times New Roman" w:hAnsi="Times New Roman" w:cs="Times New Roman"/>
          <w:sz w:val="28"/>
          <w:szCs w:val="28"/>
        </w:rPr>
        <w:t>ten</w:t>
      </w:r>
      <w:r w:rsidRPr="009B2080">
        <w:rPr>
          <w:rFonts w:ascii="Times New Roman" w:hAnsi="Times New Roman" w:cs="Times New Roman"/>
          <w:sz w:val="28"/>
          <w:szCs w:val="28"/>
        </w:rPr>
        <w:t xml:space="preserve"> NS health staff from across region</w:t>
      </w:r>
      <w:r w:rsidR="00C21843" w:rsidRPr="009B2080">
        <w:rPr>
          <w:rFonts w:ascii="Times New Roman" w:hAnsi="Times New Roman" w:cs="Times New Roman"/>
          <w:sz w:val="28"/>
          <w:szCs w:val="28"/>
        </w:rPr>
        <w:t>.</w:t>
      </w:r>
      <w:r w:rsidR="00C21843" w:rsidRPr="009B2080">
        <w:rPr>
          <w:rFonts w:ascii="Times New Roman" w:hAnsi="Times New Roman" w:cs="Times New Roman"/>
          <w:sz w:val="28"/>
          <w:szCs w:val="28"/>
        </w:rPr>
        <w:br/>
      </w:r>
    </w:p>
    <w:p w14:paraId="162EBC0D" w14:textId="33719380" w:rsidR="001F58D0" w:rsidRPr="009B2080" w:rsidRDefault="00073824" w:rsidP="009B2080">
      <w:pPr>
        <w:jc w:val="both"/>
        <w:rPr>
          <w:rFonts w:ascii="Times New Roman" w:hAnsi="Times New Roman" w:cs="Times New Roman"/>
          <w:sz w:val="28"/>
          <w:szCs w:val="28"/>
        </w:rPr>
      </w:pPr>
      <w:r w:rsidRPr="009B2080">
        <w:rPr>
          <w:rFonts w:ascii="Times New Roman" w:hAnsi="Times New Roman" w:cs="Times New Roman"/>
          <w:sz w:val="28"/>
          <w:szCs w:val="28"/>
        </w:rPr>
        <w:t>It</w:t>
      </w:r>
      <w:r w:rsidR="00D46034" w:rsidRPr="009B2080">
        <w:rPr>
          <w:rFonts w:ascii="Times New Roman" w:hAnsi="Times New Roman" w:cs="Times New Roman"/>
          <w:sz w:val="28"/>
          <w:szCs w:val="28"/>
        </w:rPr>
        <w:t xml:space="preserve"> is also important to note that proposal development is ongoing in response to HIV program</w:t>
      </w:r>
      <w:r w:rsidR="00B70915" w:rsidRPr="009B2080">
        <w:rPr>
          <w:rFonts w:ascii="Times New Roman" w:hAnsi="Times New Roman" w:cs="Times New Roman"/>
          <w:sz w:val="28"/>
          <w:szCs w:val="28"/>
        </w:rPr>
        <w:t>me</w:t>
      </w:r>
      <w:r w:rsidR="00C21843" w:rsidRPr="009B2080">
        <w:rPr>
          <w:rFonts w:ascii="Times New Roman" w:hAnsi="Times New Roman" w:cs="Times New Roman"/>
          <w:sz w:val="28"/>
          <w:szCs w:val="28"/>
        </w:rPr>
        <w:t>s</w:t>
      </w:r>
      <w:r w:rsidR="00D46034" w:rsidRPr="009B2080">
        <w:rPr>
          <w:rFonts w:ascii="Times New Roman" w:hAnsi="Times New Roman" w:cs="Times New Roman"/>
          <w:sz w:val="28"/>
          <w:szCs w:val="28"/>
        </w:rPr>
        <w:t xml:space="preserve"> targeting adolescent girls in at least three Southern Africa National Societies. There is also a consideration for sub-regional committee on health as a leadership group for HIV/AIDS in Southern Africa</w:t>
      </w:r>
    </w:p>
    <w:p w14:paraId="20C974A1" w14:textId="4237B588" w:rsidR="00BC138C" w:rsidRPr="009B2080" w:rsidRDefault="00571CED"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 xml:space="preserve">AOF </w:t>
      </w:r>
      <w:r w:rsidR="00407A93" w:rsidRPr="009B2080">
        <w:rPr>
          <w:rFonts w:ascii="Times New Roman" w:hAnsi="Times New Roman" w:cs="Times New Roman"/>
          <w:b/>
          <w:sz w:val="28"/>
          <w:szCs w:val="28"/>
        </w:rPr>
        <w:t>5: WATER</w:t>
      </w:r>
      <w:r w:rsidR="009A1B26" w:rsidRPr="009B2080">
        <w:rPr>
          <w:rFonts w:ascii="Times New Roman" w:hAnsi="Times New Roman" w:cs="Times New Roman"/>
          <w:b/>
          <w:sz w:val="28"/>
          <w:szCs w:val="28"/>
        </w:rPr>
        <w:t xml:space="preserve"> SANITATION AND HYG</w:t>
      </w:r>
      <w:r w:rsidR="00B70915" w:rsidRPr="009B2080">
        <w:rPr>
          <w:rFonts w:ascii="Times New Roman" w:hAnsi="Times New Roman" w:cs="Times New Roman"/>
          <w:b/>
          <w:sz w:val="28"/>
          <w:szCs w:val="28"/>
        </w:rPr>
        <w:t>I</w:t>
      </w:r>
      <w:r w:rsidR="009A1B26" w:rsidRPr="009B2080">
        <w:rPr>
          <w:rFonts w:ascii="Times New Roman" w:hAnsi="Times New Roman" w:cs="Times New Roman"/>
          <w:b/>
          <w:sz w:val="28"/>
          <w:szCs w:val="28"/>
        </w:rPr>
        <w:t>ENE</w:t>
      </w:r>
    </w:p>
    <w:p w14:paraId="6B8C06CC" w14:textId="77777777" w:rsidR="00745FD7" w:rsidRPr="009B2080" w:rsidRDefault="00745FD7" w:rsidP="009B2080">
      <w:pPr>
        <w:spacing w:after="0" w:line="240" w:lineRule="auto"/>
        <w:jc w:val="both"/>
        <w:rPr>
          <w:rFonts w:ascii="Times New Roman" w:hAnsi="Times New Roman" w:cs="Times New Roman"/>
          <w:b/>
          <w:sz w:val="28"/>
          <w:szCs w:val="28"/>
        </w:rPr>
      </w:pPr>
    </w:p>
    <w:p w14:paraId="75EDB6CB" w14:textId="67636369" w:rsidR="00D04F6B" w:rsidRPr="009B2080" w:rsidRDefault="00745FD7"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Water Sanitation and hygiene had a score of 2.3 out of 5 which signifies below average performance. The key milestones reviewed included: </w:t>
      </w:r>
      <w:r w:rsidR="00D10AFC" w:rsidRPr="009B2080">
        <w:rPr>
          <w:rFonts w:ascii="Times New Roman" w:hAnsi="Times New Roman" w:cs="Times New Roman"/>
          <w:sz w:val="28"/>
          <w:szCs w:val="28"/>
        </w:rPr>
        <w:t>d</w:t>
      </w:r>
      <w:r w:rsidRPr="009B2080">
        <w:rPr>
          <w:rFonts w:ascii="Times New Roman" w:hAnsi="Times New Roman" w:cs="Times New Roman"/>
          <w:sz w:val="28"/>
          <w:szCs w:val="28"/>
        </w:rPr>
        <w:t xml:space="preserve">eveloping two new partnerships and working with existing partners to develop two WASH flagship projects in the region, incorporating Health/DRR, </w:t>
      </w:r>
      <w:r w:rsidR="00D10AFC" w:rsidRPr="009B2080">
        <w:rPr>
          <w:rFonts w:ascii="Times New Roman" w:hAnsi="Times New Roman" w:cs="Times New Roman"/>
          <w:sz w:val="28"/>
          <w:szCs w:val="28"/>
        </w:rPr>
        <w:t>d</w:t>
      </w:r>
      <w:r w:rsidRPr="009B2080">
        <w:rPr>
          <w:rFonts w:ascii="Times New Roman" w:hAnsi="Times New Roman" w:cs="Times New Roman"/>
          <w:sz w:val="28"/>
          <w:szCs w:val="28"/>
        </w:rPr>
        <w:t xml:space="preserve">eveloping a critical data collection and analysis method for decision-making, and planning strategies for the use of data collection, information management products and the Operations Room, </w:t>
      </w:r>
      <w:r w:rsidR="00D10AFC" w:rsidRPr="009B2080">
        <w:rPr>
          <w:rFonts w:ascii="Times New Roman" w:hAnsi="Times New Roman" w:cs="Times New Roman"/>
          <w:sz w:val="28"/>
          <w:szCs w:val="28"/>
        </w:rPr>
        <w:t>d</w:t>
      </w:r>
      <w:r w:rsidRPr="009B2080">
        <w:rPr>
          <w:rFonts w:ascii="Times New Roman" w:hAnsi="Times New Roman" w:cs="Times New Roman"/>
          <w:sz w:val="28"/>
          <w:szCs w:val="28"/>
        </w:rPr>
        <w:t xml:space="preserve">ocumenting best practices from successful WASH projects and use as the springboard to scale-up WASH programming in </w:t>
      </w:r>
      <w:r w:rsidR="00D10AFC" w:rsidRPr="009B2080">
        <w:rPr>
          <w:rFonts w:ascii="Times New Roman" w:hAnsi="Times New Roman" w:cs="Times New Roman"/>
          <w:sz w:val="28"/>
          <w:szCs w:val="28"/>
        </w:rPr>
        <w:t>over five NSs</w:t>
      </w:r>
      <w:r w:rsidRPr="009B2080">
        <w:rPr>
          <w:rFonts w:ascii="Times New Roman" w:hAnsi="Times New Roman" w:cs="Times New Roman"/>
          <w:sz w:val="28"/>
          <w:szCs w:val="28"/>
        </w:rPr>
        <w:t xml:space="preserve">, Develop </w:t>
      </w:r>
      <w:r w:rsidR="00D10AFC" w:rsidRPr="009B2080">
        <w:rPr>
          <w:rFonts w:ascii="Times New Roman" w:hAnsi="Times New Roman" w:cs="Times New Roman"/>
          <w:sz w:val="28"/>
          <w:szCs w:val="28"/>
        </w:rPr>
        <w:t>w</w:t>
      </w:r>
      <w:r w:rsidRPr="009B2080">
        <w:rPr>
          <w:rFonts w:ascii="Times New Roman" w:hAnsi="Times New Roman" w:cs="Times New Roman"/>
          <w:sz w:val="28"/>
          <w:szCs w:val="28"/>
        </w:rPr>
        <w:t xml:space="preserve">aste water management guidelines in the Africa context, </w:t>
      </w:r>
      <w:r w:rsidR="00D10AFC" w:rsidRPr="009B2080">
        <w:rPr>
          <w:rFonts w:ascii="Times New Roman" w:hAnsi="Times New Roman" w:cs="Times New Roman"/>
          <w:sz w:val="28"/>
          <w:szCs w:val="28"/>
        </w:rPr>
        <w:t>d</w:t>
      </w:r>
      <w:r w:rsidRPr="009B2080">
        <w:rPr>
          <w:rFonts w:ascii="Times New Roman" w:hAnsi="Times New Roman" w:cs="Times New Roman"/>
          <w:sz w:val="28"/>
          <w:szCs w:val="28"/>
        </w:rPr>
        <w:t>evelop guidelines for African N</w:t>
      </w:r>
      <w:r w:rsidR="008F49F0" w:rsidRPr="009B2080">
        <w:rPr>
          <w:rFonts w:ascii="Times New Roman" w:hAnsi="Times New Roman" w:cs="Times New Roman"/>
          <w:sz w:val="28"/>
          <w:szCs w:val="28"/>
        </w:rPr>
        <w:t>ational Societies’</w:t>
      </w:r>
      <w:r w:rsidRPr="009B2080">
        <w:rPr>
          <w:rFonts w:ascii="Times New Roman" w:hAnsi="Times New Roman" w:cs="Times New Roman"/>
          <w:sz w:val="28"/>
          <w:szCs w:val="28"/>
        </w:rPr>
        <w:t xml:space="preserve"> engagement in urban WASH</w:t>
      </w:r>
      <w:r w:rsidR="008F49F0" w:rsidRPr="009B2080">
        <w:rPr>
          <w:rFonts w:ascii="Times New Roman" w:hAnsi="Times New Roman" w:cs="Times New Roman"/>
          <w:sz w:val="28"/>
          <w:szCs w:val="28"/>
        </w:rPr>
        <w:t>,</w:t>
      </w:r>
      <w:r w:rsidRPr="009B2080">
        <w:rPr>
          <w:rFonts w:ascii="Times New Roman" w:hAnsi="Times New Roman" w:cs="Times New Roman"/>
          <w:sz w:val="28"/>
          <w:szCs w:val="28"/>
        </w:rPr>
        <w:t xml:space="preserve"> using the </w:t>
      </w:r>
      <w:r w:rsidR="008F49F0" w:rsidRPr="009B2080">
        <w:rPr>
          <w:rFonts w:ascii="Times New Roman" w:hAnsi="Times New Roman" w:cs="Times New Roman"/>
          <w:sz w:val="28"/>
          <w:szCs w:val="28"/>
        </w:rPr>
        <w:t>u</w:t>
      </w:r>
      <w:r w:rsidRPr="009B2080">
        <w:rPr>
          <w:rFonts w:ascii="Times New Roman" w:hAnsi="Times New Roman" w:cs="Times New Roman"/>
          <w:sz w:val="28"/>
          <w:szCs w:val="28"/>
        </w:rPr>
        <w:t xml:space="preserve">rban DRR as an entry point and </w:t>
      </w:r>
      <w:r w:rsidR="008F49F0" w:rsidRPr="009B2080">
        <w:rPr>
          <w:rFonts w:ascii="Times New Roman" w:hAnsi="Times New Roman" w:cs="Times New Roman"/>
          <w:sz w:val="28"/>
          <w:szCs w:val="28"/>
        </w:rPr>
        <w:t>d</w:t>
      </w:r>
      <w:r w:rsidRPr="009B2080">
        <w:rPr>
          <w:rFonts w:ascii="Times New Roman" w:hAnsi="Times New Roman" w:cs="Times New Roman"/>
          <w:sz w:val="28"/>
          <w:szCs w:val="28"/>
        </w:rPr>
        <w:t>evelop</w:t>
      </w:r>
      <w:r w:rsidR="00D5713E" w:rsidRPr="009B2080">
        <w:rPr>
          <w:rFonts w:ascii="Times New Roman" w:hAnsi="Times New Roman" w:cs="Times New Roman"/>
          <w:sz w:val="28"/>
          <w:szCs w:val="28"/>
        </w:rPr>
        <w:t>ing</w:t>
      </w:r>
      <w:r w:rsidRPr="009B2080">
        <w:rPr>
          <w:rFonts w:ascii="Times New Roman" w:hAnsi="Times New Roman" w:cs="Times New Roman"/>
          <w:sz w:val="28"/>
          <w:szCs w:val="28"/>
        </w:rPr>
        <w:t xml:space="preserve"> innovations that expand access to water and sanitation in rural areas</w:t>
      </w:r>
      <w:r w:rsidR="00D5713E" w:rsidRPr="009B2080">
        <w:rPr>
          <w:rFonts w:ascii="Times New Roman" w:hAnsi="Times New Roman" w:cs="Times New Roman"/>
          <w:sz w:val="28"/>
          <w:szCs w:val="28"/>
        </w:rPr>
        <w:t>. Some modest progress was realized under th</w:t>
      </w:r>
      <w:r w:rsidR="00C90F4E" w:rsidRPr="009B2080">
        <w:rPr>
          <w:rFonts w:ascii="Times New Roman" w:hAnsi="Times New Roman" w:cs="Times New Roman"/>
          <w:sz w:val="28"/>
          <w:szCs w:val="28"/>
        </w:rPr>
        <w:t>is Area of Focus</w:t>
      </w:r>
      <w:r w:rsidR="00D5713E" w:rsidRPr="009B2080">
        <w:rPr>
          <w:rFonts w:ascii="Times New Roman" w:hAnsi="Times New Roman" w:cs="Times New Roman"/>
          <w:sz w:val="28"/>
          <w:szCs w:val="28"/>
        </w:rPr>
        <w:t xml:space="preserve"> </w:t>
      </w:r>
      <w:r w:rsidR="00C90F4E" w:rsidRPr="009B2080">
        <w:rPr>
          <w:rFonts w:ascii="Times New Roman" w:hAnsi="Times New Roman" w:cs="Times New Roman"/>
          <w:sz w:val="28"/>
          <w:szCs w:val="28"/>
        </w:rPr>
        <w:t>(</w:t>
      </w:r>
      <w:r w:rsidR="00D5713E" w:rsidRPr="009B2080">
        <w:rPr>
          <w:rFonts w:ascii="Times New Roman" w:hAnsi="Times New Roman" w:cs="Times New Roman"/>
          <w:sz w:val="28"/>
          <w:szCs w:val="28"/>
        </w:rPr>
        <w:t>AOF</w:t>
      </w:r>
      <w:r w:rsidR="00C90F4E" w:rsidRPr="009B2080">
        <w:rPr>
          <w:rFonts w:ascii="Times New Roman" w:hAnsi="Times New Roman" w:cs="Times New Roman"/>
          <w:sz w:val="28"/>
          <w:szCs w:val="28"/>
        </w:rPr>
        <w:t>)</w:t>
      </w:r>
      <w:r w:rsidR="00D5713E" w:rsidRPr="009B2080">
        <w:rPr>
          <w:rFonts w:ascii="Times New Roman" w:hAnsi="Times New Roman" w:cs="Times New Roman"/>
          <w:sz w:val="28"/>
          <w:szCs w:val="28"/>
        </w:rPr>
        <w:t xml:space="preserve">. In terms of new partnerships to develop WASH flagship projects, Ghana flagship project is ongoing until mid-2018. </w:t>
      </w:r>
      <w:bookmarkStart w:id="0" w:name="_Hlk503855333"/>
      <w:r w:rsidR="00B70915" w:rsidRPr="009B2080">
        <w:rPr>
          <w:rFonts w:ascii="Times New Roman" w:hAnsi="Times New Roman" w:cs="Times New Roman"/>
          <w:sz w:val="28"/>
          <w:szCs w:val="28"/>
        </w:rPr>
        <w:t>Côte d’Ivoire</w:t>
      </w:r>
      <w:r w:rsidR="00B70915" w:rsidRPr="009B2080" w:rsidDel="00B70915">
        <w:rPr>
          <w:rFonts w:ascii="Times New Roman" w:hAnsi="Times New Roman" w:cs="Times New Roman"/>
          <w:sz w:val="28"/>
          <w:szCs w:val="28"/>
        </w:rPr>
        <w:t xml:space="preserve"> </w:t>
      </w:r>
      <w:bookmarkEnd w:id="0"/>
      <w:r w:rsidR="00D5713E" w:rsidRPr="009B2080">
        <w:rPr>
          <w:rFonts w:ascii="Times New Roman" w:hAnsi="Times New Roman" w:cs="Times New Roman"/>
          <w:sz w:val="28"/>
          <w:szCs w:val="28"/>
        </w:rPr>
        <w:t xml:space="preserve">project </w:t>
      </w:r>
      <w:r w:rsidR="00D5713E" w:rsidRPr="009B2080">
        <w:rPr>
          <w:rFonts w:ascii="Times New Roman" w:hAnsi="Times New Roman" w:cs="Times New Roman"/>
          <w:sz w:val="28"/>
          <w:szCs w:val="28"/>
        </w:rPr>
        <w:lastRenderedPageBreak/>
        <w:t xml:space="preserve">completed and look back study showed strong evidence of sustainability after more than </w:t>
      </w:r>
      <w:r w:rsidR="00B70915" w:rsidRPr="009B2080">
        <w:rPr>
          <w:rFonts w:ascii="Times New Roman" w:hAnsi="Times New Roman" w:cs="Times New Roman"/>
          <w:sz w:val="28"/>
          <w:szCs w:val="28"/>
        </w:rPr>
        <w:t xml:space="preserve">five </w:t>
      </w:r>
      <w:r w:rsidR="00D5713E" w:rsidRPr="009B2080">
        <w:rPr>
          <w:rFonts w:ascii="Times New Roman" w:hAnsi="Times New Roman" w:cs="Times New Roman"/>
          <w:sz w:val="28"/>
          <w:szCs w:val="28"/>
        </w:rPr>
        <w:t xml:space="preserve">years of implementation. New partnership for the next </w:t>
      </w:r>
      <w:r w:rsidR="00B70915" w:rsidRPr="009B2080">
        <w:rPr>
          <w:rFonts w:ascii="Times New Roman" w:hAnsi="Times New Roman" w:cs="Times New Roman"/>
          <w:sz w:val="28"/>
          <w:szCs w:val="28"/>
        </w:rPr>
        <w:t xml:space="preserve">five </w:t>
      </w:r>
      <w:r w:rsidR="00D5713E" w:rsidRPr="009B2080">
        <w:rPr>
          <w:rFonts w:ascii="Times New Roman" w:hAnsi="Times New Roman" w:cs="Times New Roman"/>
          <w:sz w:val="28"/>
          <w:szCs w:val="28"/>
        </w:rPr>
        <w:t>years is planned to be negotiated in 2018. Additionally, new funding has been secured for WASH and a new staff to be brought on board.</w:t>
      </w:r>
      <w:r w:rsidR="00886945" w:rsidRPr="009B2080">
        <w:rPr>
          <w:rFonts w:ascii="Times New Roman" w:hAnsi="Times New Roman" w:cs="Times New Roman"/>
          <w:sz w:val="28"/>
          <w:szCs w:val="28"/>
        </w:rPr>
        <w:t xml:space="preserve"> </w:t>
      </w:r>
    </w:p>
    <w:p w14:paraId="3B8A7F29" w14:textId="77777777" w:rsidR="00D04F6B" w:rsidRPr="009B2080" w:rsidRDefault="00D04F6B" w:rsidP="009B2080">
      <w:pPr>
        <w:spacing w:after="0" w:line="240" w:lineRule="auto"/>
        <w:jc w:val="both"/>
        <w:rPr>
          <w:rFonts w:ascii="Times New Roman" w:hAnsi="Times New Roman" w:cs="Times New Roman"/>
          <w:sz w:val="28"/>
          <w:szCs w:val="28"/>
        </w:rPr>
      </w:pPr>
    </w:p>
    <w:p w14:paraId="01279349" w14:textId="7BF4D80C" w:rsidR="00D04F6B" w:rsidRPr="009B2080" w:rsidRDefault="00886945" w:rsidP="009B2080">
      <w:pPr>
        <w:spacing w:after="0" w:line="240" w:lineRule="auto"/>
        <w:jc w:val="both"/>
        <w:rPr>
          <w:rFonts w:ascii="Times New Roman" w:hAnsi="Times New Roman" w:cs="Times New Roman"/>
          <w:color w:val="FF0000"/>
          <w:sz w:val="28"/>
          <w:szCs w:val="28"/>
        </w:rPr>
      </w:pPr>
      <w:r w:rsidRPr="009B2080">
        <w:rPr>
          <w:rFonts w:ascii="Times New Roman" w:hAnsi="Times New Roman" w:cs="Times New Roman"/>
          <w:sz w:val="28"/>
          <w:szCs w:val="28"/>
        </w:rPr>
        <w:t>In terms of data collection and analysis for decision making, there is increased use of ICT and other platform</w:t>
      </w:r>
      <w:r w:rsidR="00D03843" w:rsidRPr="009B2080">
        <w:rPr>
          <w:rFonts w:ascii="Times New Roman" w:hAnsi="Times New Roman" w:cs="Times New Roman"/>
          <w:sz w:val="28"/>
          <w:szCs w:val="28"/>
        </w:rPr>
        <w:t>s,</w:t>
      </w:r>
      <w:r w:rsidRPr="009B2080">
        <w:rPr>
          <w:rFonts w:ascii="Times New Roman" w:hAnsi="Times New Roman" w:cs="Times New Roman"/>
          <w:sz w:val="28"/>
          <w:szCs w:val="28"/>
        </w:rPr>
        <w:t xml:space="preserve"> for both emergency and long term developmental programmes. </w:t>
      </w:r>
      <w:r w:rsidR="00B70915" w:rsidRPr="009B2080">
        <w:rPr>
          <w:rFonts w:ascii="Times New Roman" w:hAnsi="Times New Roman" w:cs="Times New Roman"/>
          <w:sz w:val="28"/>
          <w:szCs w:val="28"/>
        </w:rPr>
        <w:t xml:space="preserve">The </w:t>
      </w:r>
      <w:r w:rsidRPr="009B2080">
        <w:rPr>
          <w:rFonts w:ascii="Times New Roman" w:hAnsi="Times New Roman" w:cs="Times New Roman"/>
          <w:sz w:val="28"/>
          <w:szCs w:val="28"/>
        </w:rPr>
        <w:t xml:space="preserve">PMER department is also piloting mobile data collection to enhance the speed and efficiency of information flow. Moreover, IFRC has enhanced its documentation </w:t>
      </w:r>
      <w:r w:rsidR="00D04F6B" w:rsidRPr="009B2080">
        <w:rPr>
          <w:rFonts w:ascii="Times New Roman" w:hAnsi="Times New Roman" w:cs="Times New Roman"/>
          <w:sz w:val="28"/>
          <w:szCs w:val="28"/>
        </w:rPr>
        <w:t xml:space="preserve">of successful WASH projects to demonstrate results. Specifically, this has been done for WASH projects in </w:t>
      </w:r>
      <w:r w:rsidR="00B70915" w:rsidRPr="009B2080">
        <w:rPr>
          <w:rFonts w:ascii="Times New Roman" w:hAnsi="Times New Roman" w:cs="Times New Roman"/>
          <w:sz w:val="28"/>
          <w:szCs w:val="28"/>
        </w:rPr>
        <w:t xml:space="preserve">Côte d’Ivoire </w:t>
      </w:r>
      <w:r w:rsidR="00D04F6B" w:rsidRPr="009B2080">
        <w:rPr>
          <w:rFonts w:ascii="Times New Roman" w:hAnsi="Times New Roman" w:cs="Times New Roman"/>
          <w:sz w:val="28"/>
          <w:szCs w:val="28"/>
        </w:rPr>
        <w:t xml:space="preserve">and Ghana. It is however important to note that there has been no progress noted in terms of development of waste water management guidelines in </w:t>
      </w:r>
      <w:r w:rsidR="00D03843" w:rsidRPr="009B2080">
        <w:rPr>
          <w:rFonts w:ascii="Times New Roman" w:hAnsi="Times New Roman" w:cs="Times New Roman"/>
          <w:sz w:val="28"/>
          <w:szCs w:val="28"/>
        </w:rPr>
        <w:t xml:space="preserve">an </w:t>
      </w:r>
      <w:r w:rsidR="00D04F6B" w:rsidRPr="009B2080">
        <w:rPr>
          <w:rFonts w:ascii="Times New Roman" w:hAnsi="Times New Roman" w:cs="Times New Roman"/>
          <w:sz w:val="28"/>
          <w:szCs w:val="28"/>
        </w:rPr>
        <w:t>Africa</w:t>
      </w:r>
      <w:r w:rsidR="00D03843" w:rsidRPr="009B2080">
        <w:rPr>
          <w:rFonts w:ascii="Times New Roman" w:hAnsi="Times New Roman" w:cs="Times New Roman"/>
          <w:sz w:val="28"/>
          <w:szCs w:val="28"/>
        </w:rPr>
        <w:t>n</w:t>
      </w:r>
      <w:r w:rsidR="00D04F6B" w:rsidRPr="009B2080">
        <w:rPr>
          <w:rFonts w:ascii="Times New Roman" w:hAnsi="Times New Roman" w:cs="Times New Roman"/>
          <w:sz w:val="28"/>
          <w:szCs w:val="28"/>
        </w:rPr>
        <w:t xml:space="preserve"> context</w:t>
      </w:r>
      <w:r w:rsidR="00D03843" w:rsidRPr="009B2080">
        <w:rPr>
          <w:rFonts w:ascii="Times New Roman" w:hAnsi="Times New Roman" w:cs="Times New Roman"/>
          <w:sz w:val="28"/>
          <w:szCs w:val="28"/>
        </w:rPr>
        <w:t>,</w:t>
      </w:r>
      <w:r w:rsidR="00D04F6B" w:rsidRPr="009B2080">
        <w:rPr>
          <w:rFonts w:ascii="Times New Roman" w:hAnsi="Times New Roman" w:cs="Times New Roman"/>
          <w:sz w:val="28"/>
          <w:szCs w:val="28"/>
        </w:rPr>
        <w:t xml:space="preserve"> and </w:t>
      </w:r>
      <w:r w:rsidR="00D03843" w:rsidRPr="009B2080">
        <w:rPr>
          <w:rFonts w:ascii="Times New Roman" w:hAnsi="Times New Roman" w:cs="Times New Roman"/>
          <w:sz w:val="28"/>
          <w:szCs w:val="28"/>
        </w:rPr>
        <w:t xml:space="preserve">in accordance with </w:t>
      </w:r>
      <w:r w:rsidR="00D04F6B" w:rsidRPr="009B2080">
        <w:rPr>
          <w:rFonts w:ascii="Times New Roman" w:hAnsi="Times New Roman" w:cs="Times New Roman"/>
          <w:sz w:val="28"/>
          <w:szCs w:val="28"/>
        </w:rPr>
        <w:t>guidelines for Africa National Societies engagement in urban WASH.</w:t>
      </w:r>
      <w:r w:rsidR="00DE4AA5" w:rsidRPr="009B2080" w:rsidDel="00DE4AA5">
        <w:rPr>
          <w:rFonts w:ascii="Times New Roman" w:hAnsi="Times New Roman" w:cs="Times New Roman"/>
          <w:color w:val="FF0000"/>
          <w:sz w:val="28"/>
          <w:szCs w:val="28"/>
        </w:rPr>
        <w:t xml:space="preserve"> </w:t>
      </w:r>
    </w:p>
    <w:p w14:paraId="329CEDD5" w14:textId="77777777" w:rsidR="00D03843" w:rsidRPr="009B2080" w:rsidRDefault="00D03843" w:rsidP="009B2080">
      <w:pPr>
        <w:spacing w:after="0" w:line="240" w:lineRule="auto"/>
        <w:jc w:val="both"/>
        <w:rPr>
          <w:rFonts w:ascii="Times New Roman" w:hAnsi="Times New Roman" w:cs="Times New Roman"/>
          <w:sz w:val="28"/>
          <w:szCs w:val="28"/>
        </w:rPr>
      </w:pPr>
    </w:p>
    <w:p w14:paraId="664A1209" w14:textId="77777777" w:rsidR="00D04F6B" w:rsidRPr="009B2080" w:rsidRDefault="00D04F6B"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42A2DE27" w14:textId="77777777" w:rsidR="00D04F6B" w:rsidRPr="009B2080" w:rsidRDefault="00D04F6B" w:rsidP="009B2080">
      <w:pPr>
        <w:spacing w:after="0" w:line="240" w:lineRule="auto"/>
        <w:jc w:val="both"/>
        <w:rPr>
          <w:rFonts w:ascii="Times New Roman" w:hAnsi="Times New Roman" w:cs="Times New Roman"/>
          <w:sz w:val="28"/>
          <w:szCs w:val="28"/>
        </w:rPr>
      </w:pPr>
    </w:p>
    <w:p w14:paraId="7D315F46" w14:textId="411C5B90" w:rsidR="00D04F6B" w:rsidRPr="009B2080" w:rsidRDefault="004E1E4F"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w:t>
      </w:r>
      <w:r w:rsidR="00B70915" w:rsidRPr="009B2080">
        <w:rPr>
          <w:rFonts w:ascii="Times New Roman" w:hAnsi="Times New Roman" w:cs="Times New Roman"/>
          <w:sz w:val="28"/>
          <w:szCs w:val="28"/>
        </w:rPr>
        <w:t xml:space="preserve">a </w:t>
      </w:r>
      <w:r w:rsidRPr="009B2080">
        <w:rPr>
          <w:rFonts w:ascii="Times New Roman" w:hAnsi="Times New Roman" w:cs="Times New Roman"/>
          <w:sz w:val="28"/>
          <w:szCs w:val="28"/>
        </w:rPr>
        <w:t xml:space="preserve">need for more IFRC management and leadership engagement in support of the following countries: DRC, Gabon, Sierra Leone, Liberia, Nigeria, Benin, Burkina Faso, Senegal and Chad. In </w:t>
      </w:r>
      <w:r w:rsidR="00B5373F" w:rsidRPr="009B2080">
        <w:rPr>
          <w:rFonts w:ascii="Times New Roman" w:hAnsi="Times New Roman" w:cs="Times New Roman"/>
          <w:sz w:val="28"/>
          <w:szCs w:val="28"/>
        </w:rPr>
        <w:t>addition, enhanced</w:t>
      </w:r>
      <w:r w:rsidRPr="009B2080">
        <w:rPr>
          <w:rFonts w:ascii="Times New Roman" w:hAnsi="Times New Roman" w:cs="Times New Roman"/>
          <w:sz w:val="28"/>
          <w:szCs w:val="28"/>
        </w:rPr>
        <w:t xml:space="preserve"> Africa region engagement in </w:t>
      </w:r>
      <w:r w:rsidR="000E27B9" w:rsidRPr="009B2080">
        <w:rPr>
          <w:rFonts w:ascii="Times New Roman" w:hAnsi="Times New Roman" w:cs="Times New Roman"/>
          <w:sz w:val="28"/>
          <w:szCs w:val="28"/>
        </w:rPr>
        <w:t>Research and Development (</w:t>
      </w:r>
      <w:r w:rsidRPr="009B2080">
        <w:rPr>
          <w:rFonts w:ascii="Times New Roman" w:hAnsi="Times New Roman" w:cs="Times New Roman"/>
          <w:sz w:val="28"/>
          <w:szCs w:val="28"/>
        </w:rPr>
        <w:t>R&amp;D</w:t>
      </w:r>
      <w:r w:rsidR="000E27B9" w:rsidRPr="009B2080">
        <w:rPr>
          <w:rFonts w:ascii="Times New Roman" w:hAnsi="Times New Roman" w:cs="Times New Roman"/>
          <w:sz w:val="28"/>
          <w:szCs w:val="28"/>
        </w:rPr>
        <w:t>)</w:t>
      </w:r>
      <w:r w:rsidRPr="009B2080">
        <w:rPr>
          <w:rFonts w:ascii="Times New Roman" w:hAnsi="Times New Roman" w:cs="Times New Roman"/>
          <w:sz w:val="28"/>
          <w:szCs w:val="28"/>
        </w:rPr>
        <w:t xml:space="preserve"> and active partnership with external actors. This includes improving Partnership with </w:t>
      </w:r>
      <w:r w:rsidRPr="009B2080">
        <w:rPr>
          <w:rFonts w:ascii="Times New Roman" w:hAnsi="Times New Roman" w:cs="Times New Roman"/>
          <w:i/>
          <w:sz w:val="28"/>
          <w:szCs w:val="28"/>
        </w:rPr>
        <w:t>salesforce</w:t>
      </w:r>
      <w:r w:rsidRPr="009B2080">
        <w:rPr>
          <w:rFonts w:ascii="Times New Roman" w:hAnsi="Times New Roman" w:cs="Times New Roman"/>
          <w:sz w:val="28"/>
          <w:szCs w:val="28"/>
        </w:rPr>
        <w:t xml:space="preserve"> and </w:t>
      </w:r>
      <w:r w:rsidR="00DD6BCB" w:rsidRPr="009B2080">
        <w:rPr>
          <w:rFonts w:ascii="Times New Roman" w:hAnsi="Times New Roman" w:cs="Times New Roman"/>
          <w:i/>
          <w:sz w:val="28"/>
          <w:szCs w:val="28"/>
        </w:rPr>
        <w:t>Magpi</w:t>
      </w:r>
      <w:r w:rsidRPr="009B2080">
        <w:rPr>
          <w:rFonts w:ascii="Times New Roman" w:hAnsi="Times New Roman" w:cs="Times New Roman"/>
          <w:sz w:val="28"/>
          <w:szCs w:val="28"/>
        </w:rPr>
        <w:t xml:space="preserve"> with more access to Africa region</w:t>
      </w:r>
      <w:r w:rsidR="00B5373F" w:rsidRPr="009B2080">
        <w:rPr>
          <w:rFonts w:ascii="Times New Roman" w:hAnsi="Times New Roman" w:cs="Times New Roman"/>
          <w:sz w:val="28"/>
          <w:szCs w:val="28"/>
        </w:rPr>
        <w:t>. Finally, successful resource mobilization is key to addressing key WASH gaps in the region.</w:t>
      </w:r>
    </w:p>
    <w:p w14:paraId="6A20E9DA" w14:textId="77777777" w:rsidR="00745FD7" w:rsidRPr="009B2080" w:rsidRDefault="00745FD7" w:rsidP="009B2080">
      <w:pPr>
        <w:spacing w:after="0" w:line="240" w:lineRule="auto"/>
        <w:jc w:val="both"/>
        <w:rPr>
          <w:rFonts w:ascii="Times New Roman" w:hAnsi="Times New Roman" w:cs="Times New Roman"/>
          <w:sz w:val="28"/>
          <w:szCs w:val="28"/>
        </w:rPr>
      </w:pPr>
    </w:p>
    <w:p w14:paraId="527DFB03" w14:textId="77777777" w:rsidR="00987ADA" w:rsidRPr="009B2080" w:rsidRDefault="00987ADA"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AOF 6: SOCIAL INCLUSION</w:t>
      </w:r>
    </w:p>
    <w:p w14:paraId="461390FC" w14:textId="77777777" w:rsidR="00514840" w:rsidRPr="009B2080" w:rsidRDefault="00514840" w:rsidP="009B2080">
      <w:pPr>
        <w:spacing w:after="0" w:line="240" w:lineRule="auto"/>
        <w:jc w:val="both"/>
        <w:rPr>
          <w:rFonts w:ascii="Times New Roman" w:hAnsi="Times New Roman" w:cs="Times New Roman"/>
          <w:b/>
          <w:sz w:val="28"/>
          <w:szCs w:val="28"/>
        </w:rPr>
      </w:pPr>
    </w:p>
    <w:p w14:paraId="357F41D4" w14:textId="3FFCC1A6" w:rsidR="001F58D0" w:rsidRPr="009B2080" w:rsidRDefault="00514840" w:rsidP="009B2080">
      <w:pPr>
        <w:jc w:val="both"/>
        <w:rPr>
          <w:rFonts w:ascii="Times New Roman" w:hAnsi="Times New Roman" w:cs="Times New Roman"/>
          <w:sz w:val="28"/>
          <w:szCs w:val="28"/>
        </w:rPr>
      </w:pPr>
      <w:r w:rsidRPr="009B2080">
        <w:rPr>
          <w:rFonts w:ascii="Times New Roman" w:hAnsi="Times New Roman" w:cs="Times New Roman"/>
          <w:sz w:val="28"/>
          <w:szCs w:val="28"/>
        </w:rPr>
        <w:t xml:space="preserve">Social inclusion had a score of 2.6 out of 5. </w:t>
      </w:r>
      <w:r w:rsidR="00AA3AA0" w:rsidRPr="009B2080">
        <w:rPr>
          <w:rFonts w:ascii="Times New Roman" w:hAnsi="Times New Roman" w:cs="Times New Roman"/>
          <w:sz w:val="28"/>
          <w:szCs w:val="28"/>
        </w:rPr>
        <w:t>This means</w:t>
      </w:r>
      <w:r w:rsidRPr="009B2080">
        <w:rPr>
          <w:rFonts w:ascii="Times New Roman" w:hAnsi="Times New Roman" w:cs="Times New Roman"/>
          <w:sz w:val="28"/>
          <w:szCs w:val="28"/>
        </w:rPr>
        <w:t xml:space="preserve"> that the progress is average and more needs to be done.</w:t>
      </w:r>
      <w:r w:rsidR="00D304F1" w:rsidRPr="009B2080">
        <w:rPr>
          <w:rFonts w:ascii="Times New Roman" w:hAnsi="Times New Roman" w:cs="Times New Roman"/>
          <w:sz w:val="28"/>
          <w:szCs w:val="28"/>
        </w:rPr>
        <w:t xml:space="preserve"> The milestone reviewed under the Area of Focus include</w:t>
      </w:r>
      <w:r w:rsidR="002E1529" w:rsidRPr="009B2080">
        <w:rPr>
          <w:rFonts w:ascii="Times New Roman" w:hAnsi="Times New Roman" w:cs="Times New Roman"/>
          <w:sz w:val="28"/>
          <w:szCs w:val="28"/>
        </w:rPr>
        <w:t>d</w:t>
      </w:r>
      <w:r w:rsidR="00D304F1" w:rsidRPr="009B2080">
        <w:rPr>
          <w:rFonts w:ascii="Times New Roman" w:hAnsi="Times New Roman" w:cs="Times New Roman"/>
          <w:sz w:val="28"/>
          <w:szCs w:val="28"/>
        </w:rPr>
        <w:t xml:space="preserve">: </w:t>
      </w:r>
      <w:r w:rsidR="00372285" w:rsidRPr="009B2080">
        <w:rPr>
          <w:rFonts w:ascii="Times New Roman" w:hAnsi="Times New Roman" w:cs="Times New Roman"/>
          <w:sz w:val="28"/>
          <w:szCs w:val="28"/>
        </w:rPr>
        <w:t>i</w:t>
      </w:r>
      <w:r w:rsidR="00D304F1" w:rsidRPr="009B2080">
        <w:rPr>
          <w:rFonts w:ascii="Times New Roman" w:hAnsi="Times New Roman" w:cs="Times New Roman"/>
          <w:sz w:val="28"/>
          <w:szCs w:val="28"/>
        </w:rPr>
        <w:t xml:space="preserve">ncrease and systematize pro-active analysis of changing context, possible scenarios and the implications on humanitarian needs, </w:t>
      </w:r>
      <w:r w:rsidR="00E43103" w:rsidRPr="009B2080">
        <w:rPr>
          <w:rFonts w:ascii="Times New Roman" w:hAnsi="Times New Roman" w:cs="Times New Roman"/>
          <w:sz w:val="28"/>
          <w:szCs w:val="28"/>
        </w:rPr>
        <w:t>record</w:t>
      </w:r>
      <w:r w:rsidR="00D304F1" w:rsidRPr="009B2080">
        <w:rPr>
          <w:rFonts w:ascii="Times New Roman" w:hAnsi="Times New Roman" w:cs="Times New Roman"/>
          <w:sz w:val="28"/>
          <w:szCs w:val="28"/>
        </w:rPr>
        <w:t xml:space="preserve"> desegregated data for 50</w:t>
      </w:r>
      <w:r w:rsidR="00372285" w:rsidRPr="009B2080">
        <w:rPr>
          <w:rFonts w:ascii="Times New Roman" w:hAnsi="Times New Roman" w:cs="Times New Roman"/>
          <w:sz w:val="28"/>
          <w:szCs w:val="28"/>
        </w:rPr>
        <w:t xml:space="preserve"> </w:t>
      </w:r>
      <w:r w:rsidR="00B70915" w:rsidRPr="009B2080">
        <w:rPr>
          <w:rFonts w:ascii="Times New Roman" w:hAnsi="Times New Roman" w:cs="Times New Roman"/>
          <w:sz w:val="28"/>
          <w:szCs w:val="28"/>
        </w:rPr>
        <w:t xml:space="preserve">per cent </w:t>
      </w:r>
      <w:r w:rsidR="00D304F1" w:rsidRPr="009B2080">
        <w:rPr>
          <w:rFonts w:ascii="Times New Roman" w:hAnsi="Times New Roman" w:cs="Times New Roman"/>
          <w:sz w:val="28"/>
          <w:szCs w:val="28"/>
        </w:rPr>
        <w:t xml:space="preserve">of all projects, </w:t>
      </w:r>
      <w:r w:rsidR="00372285" w:rsidRPr="009B2080">
        <w:rPr>
          <w:rFonts w:ascii="Times New Roman" w:hAnsi="Times New Roman" w:cs="Times New Roman"/>
          <w:sz w:val="28"/>
          <w:szCs w:val="28"/>
        </w:rPr>
        <w:t>s</w:t>
      </w:r>
      <w:r w:rsidR="00D304F1" w:rsidRPr="009B2080">
        <w:rPr>
          <w:rFonts w:ascii="Times New Roman" w:hAnsi="Times New Roman" w:cs="Times New Roman"/>
          <w:sz w:val="28"/>
          <w:szCs w:val="28"/>
        </w:rPr>
        <w:t>upport the design of interventions for five NS</w:t>
      </w:r>
      <w:r w:rsidR="00372285" w:rsidRPr="009B2080">
        <w:rPr>
          <w:rFonts w:ascii="Times New Roman" w:hAnsi="Times New Roman" w:cs="Times New Roman"/>
          <w:sz w:val="28"/>
          <w:szCs w:val="28"/>
        </w:rPr>
        <w:t>s</w:t>
      </w:r>
      <w:r w:rsidR="00D304F1" w:rsidRPr="009B2080">
        <w:rPr>
          <w:rFonts w:ascii="Times New Roman" w:hAnsi="Times New Roman" w:cs="Times New Roman"/>
          <w:sz w:val="28"/>
          <w:szCs w:val="28"/>
        </w:rPr>
        <w:t xml:space="preserve"> to address sexual and gender based violence in disaster settings, NS</w:t>
      </w:r>
      <w:r w:rsidR="00372285" w:rsidRPr="009B2080">
        <w:rPr>
          <w:rFonts w:ascii="Times New Roman" w:hAnsi="Times New Roman" w:cs="Times New Roman"/>
          <w:sz w:val="28"/>
          <w:szCs w:val="28"/>
        </w:rPr>
        <w:t>s</w:t>
      </w:r>
      <w:r w:rsidR="00D304F1" w:rsidRPr="009B2080">
        <w:rPr>
          <w:rFonts w:ascii="Times New Roman" w:hAnsi="Times New Roman" w:cs="Times New Roman"/>
          <w:sz w:val="28"/>
          <w:szCs w:val="28"/>
        </w:rPr>
        <w:t xml:space="preserve"> to undertake community interventions that will directly prevent and mitigate inter-personal and community violence.</w:t>
      </w:r>
      <w:r w:rsidR="002E1529" w:rsidRPr="009B2080">
        <w:rPr>
          <w:rFonts w:ascii="Times New Roman" w:hAnsi="Times New Roman" w:cs="Times New Roman"/>
          <w:sz w:val="28"/>
          <w:szCs w:val="28"/>
        </w:rPr>
        <w:t xml:space="preserve"> Modest progress was </w:t>
      </w:r>
      <w:r w:rsidR="00B70915" w:rsidRPr="009B2080">
        <w:rPr>
          <w:rFonts w:ascii="Times New Roman" w:hAnsi="Times New Roman" w:cs="Times New Roman"/>
          <w:sz w:val="28"/>
          <w:szCs w:val="28"/>
        </w:rPr>
        <w:t>realized,</w:t>
      </w:r>
      <w:r w:rsidR="002E1529" w:rsidRPr="009B2080">
        <w:rPr>
          <w:rFonts w:ascii="Times New Roman" w:hAnsi="Times New Roman" w:cs="Times New Roman"/>
          <w:sz w:val="28"/>
          <w:szCs w:val="28"/>
        </w:rPr>
        <w:t xml:space="preserve"> and this includes, </w:t>
      </w:r>
      <w:r w:rsidR="00B70915" w:rsidRPr="009B2080">
        <w:rPr>
          <w:rFonts w:ascii="Times New Roman" w:hAnsi="Times New Roman" w:cs="Times New Roman"/>
          <w:sz w:val="28"/>
          <w:szCs w:val="28"/>
        </w:rPr>
        <w:t>Liberia National Red Cross Society (</w:t>
      </w:r>
      <w:r w:rsidR="002E1529" w:rsidRPr="009B2080">
        <w:rPr>
          <w:rFonts w:ascii="Times New Roman" w:hAnsi="Times New Roman" w:cs="Times New Roman"/>
          <w:sz w:val="28"/>
          <w:szCs w:val="28"/>
        </w:rPr>
        <w:t>LNRCS</w:t>
      </w:r>
      <w:r w:rsidR="00B70915" w:rsidRPr="009B2080">
        <w:rPr>
          <w:rFonts w:ascii="Times New Roman" w:hAnsi="Times New Roman" w:cs="Times New Roman"/>
          <w:sz w:val="28"/>
          <w:szCs w:val="28"/>
        </w:rPr>
        <w:t>)</w:t>
      </w:r>
      <w:r w:rsidR="002E1529" w:rsidRPr="009B2080">
        <w:rPr>
          <w:rFonts w:ascii="Times New Roman" w:hAnsi="Times New Roman" w:cs="Times New Roman"/>
          <w:sz w:val="28"/>
          <w:szCs w:val="28"/>
        </w:rPr>
        <w:t xml:space="preserve"> which is in the process of conducting a humanitarian needs assessment post Ebola. This has been done through secondary analysis for some crisis as well as the scenario planning for food crisis. This is in response to the initial milestone about analysis of changing context and responding to the needs. In terms of reporting desegregated data, WASH longer term project data are recorded on </w:t>
      </w:r>
      <w:r w:rsidR="00372285" w:rsidRPr="009B2080">
        <w:rPr>
          <w:rFonts w:ascii="Times New Roman" w:hAnsi="Times New Roman" w:cs="Times New Roman"/>
          <w:sz w:val="28"/>
          <w:szCs w:val="28"/>
        </w:rPr>
        <w:t xml:space="preserve">an online </w:t>
      </w:r>
      <w:r w:rsidR="002E1529" w:rsidRPr="009B2080">
        <w:rPr>
          <w:rFonts w:ascii="Times New Roman" w:hAnsi="Times New Roman" w:cs="Times New Roman"/>
          <w:sz w:val="28"/>
          <w:szCs w:val="28"/>
        </w:rPr>
        <w:t>platform th</w:t>
      </w:r>
      <w:r w:rsidR="00372285" w:rsidRPr="009B2080">
        <w:rPr>
          <w:rFonts w:ascii="Times New Roman" w:hAnsi="Times New Roman" w:cs="Times New Roman"/>
          <w:sz w:val="28"/>
          <w:szCs w:val="28"/>
        </w:rPr>
        <w:t>r</w:t>
      </w:r>
      <w:r w:rsidR="002E1529" w:rsidRPr="009B2080">
        <w:rPr>
          <w:rFonts w:ascii="Times New Roman" w:hAnsi="Times New Roman" w:cs="Times New Roman"/>
          <w:sz w:val="28"/>
          <w:szCs w:val="28"/>
        </w:rPr>
        <w:t xml:space="preserve">ough </w:t>
      </w:r>
      <w:r w:rsidR="002E1529" w:rsidRPr="009B2080">
        <w:rPr>
          <w:rFonts w:ascii="Times New Roman" w:hAnsi="Times New Roman" w:cs="Times New Roman"/>
          <w:sz w:val="28"/>
          <w:szCs w:val="28"/>
        </w:rPr>
        <w:lastRenderedPageBreak/>
        <w:t xml:space="preserve">the partnership with </w:t>
      </w:r>
      <w:r w:rsidR="002E1529" w:rsidRPr="009B2080">
        <w:rPr>
          <w:rFonts w:ascii="Times New Roman" w:hAnsi="Times New Roman" w:cs="Times New Roman"/>
          <w:i/>
          <w:sz w:val="28"/>
          <w:szCs w:val="28"/>
        </w:rPr>
        <w:t>salesforce</w:t>
      </w:r>
      <w:r w:rsidR="002E1529" w:rsidRPr="009B2080">
        <w:rPr>
          <w:rFonts w:ascii="Times New Roman" w:hAnsi="Times New Roman" w:cs="Times New Roman"/>
          <w:sz w:val="28"/>
          <w:szCs w:val="28"/>
        </w:rPr>
        <w:t xml:space="preserve">. In </w:t>
      </w:r>
      <w:r w:rsidR="00372285" w:rsidRPr="009B2080">
        <w:rPr>
          <w:rFonts w:ascii="Times New Roman" w:hAnsi="Times New Roman" w:cs="Times New Roman"/>
          <w:sz w:val="28"/>
          <w:szCs w:val="28"/>
        </w:rPr>
        <w:t xml:space="preserve">an </w:t>
      </w:r>
      <w:r w:rsidR="002E1529" w:rsidRPr="009B2080">
        <w:rPr>
          <w:rFonts w:ascii="Times New Roman" w:hAnsi="Times New Roman" w:cs="Times New Roman"/>
          <w:sz w:val="28"/>
          <w:szCs w:val="28"/>
        </w:rPr>
        <w:t xml:space="preserve">emergency context, disaggregated data </w:t>
      </w:r>
      <w:r w:rsidR="00DD6BCB">
        <w:rPr>
          <w:rFonts w:ascii="Times New Roman" w:hAnsi="Times New Roman" w:cs="Times New Roman"/>
          <w:sz w:val="28"/>
          <w:szCs w:val="28"/>
        </w:rPr>
        <w:t>is</w:t>
      </w:r>
      <w:r w:rsidR="002E1529" w:rsidRPr="009B2080">
        <w:rPr>
          <w:rFonts w:ascii="Times New Roman" w:hAnsi="Times New Roman" w:cs="Times New Roman"/>
          <w:sz w:val="28"/>
          <w:szCs w:val="28"/>
        </w:rPr>
        <w:t xml:space="preserve"> reported </w:t>
      </w:r>
      <w:r w:rsidR="00DD6BCB">
        <w:rPr>
          <w:rFonts w:ascii="Times New Roman" w:hAnsi="Times New Roman" w:cs="Times New Roman"/>
          <w:sz w:val="28"/>
          <w:szCs w:val="28"/>
        </w:rPr>
        <w:t>based on the</w:t>
      </w:r>
      <w:bookmarkStart w:id="1" w:name="_GoBack"/>
      <w:bookmarkEnd w:id="1"/>
      <w:r w:rsidR="00372285" w:rsidRPr="009B2080">
        <w:rPr>
          <w:rFonts w:ascii="Times New Roman" w:hAnsi="Times New Roman" w:cs="Times New Roman"/>
          <w:sz w:val="28"/>
          <w:szCs w:val="28"/>
        </w:rPr>
        <w:t xml:space="preserve"> </w:t>
      </w:r>
      <w:r w:rsidR="002E1529" w:rsidRPr="009B2080">
        <w:rPr>
          <w:rFonts w:ascii="Times New Roman" w:hAnsi="Times New Roman" w:cs="Times New Roman"/>
          <w:sz w:val="28"/>
          <w:szCs w:val="28"/>
        </w:rPr>
        <w:t>updated IFRC tools.  IFRC has been instrumental in mainstreaming issues of gender in its programmes and in support of the NS</w:t>
      </w:r>
      <w:r w:rsidR="00B70915" w:rsidRPr="009B2080">
        <w:rPr>
          <w:rFonts w:ascii="Times New Roman" w:hAnsi="Times New Roman" w:cs="Times New Roman"/>
          <w:sz w:val="28"/>
          <w:szCs w:val="28"/>
        </w:rPr>
        <w:t>s</w:t>
      </w:r>
      <w:r w:rsidR="002E1529" w:rsidRPr="009B2080">
        <w:rPr>
          <w:rFonts w:ascii="Times New Roman" w:hAnsi="Times New Roman" w:cs="Times New Roman"/>
          <w:sz w:val="28"/>
          <w:szCs w:val="28"/>
        </w:rPr>
        <w:t xml:space="preserve"> in doing the same. National Societies programmes have mainstreamed gender issues, some of them </w:t>
      </w:r>
      <w:r w:rsidR="00E43103" w:rsidRPr="009B2080">
        <w:rPr>
          <w:rFonts w:ascii="Times New Roman" w:hAnsi="Times New Roman" w:cs="Times New Roman"/>
          <w:sz w:val="28"/>
          <w:szCs w:val="28"/>
        </w:rPr>
        <w:t>like Kenya</w:t>
      </w:r>
      <w:r w:rsidR="002E1529" w:rsidRPr="009B2080">
        <w:rPr>
          <w:rFonts w:ascii="Times New Roman" w:hAnsi="Times New Roman" w:cs="Times New Roman"/>
          <w:sz w:val="28"/>
          <w:szCs w:val="28"/>
        </w:rPr>
        <w:t xml:space="preserve"> Red </w:t>
      </w:r>
      <w:r w:rsidR="000D712F" w:rsidRPr="009B2080">
        <w:rPr>
          <w:rFonts w:ascii="Times New Roman" w:hAnsi="Times New Roman" w:cs="Times New Roman"/>
          <w:sz w:val="28"/>
          <w:szCs w:val="28"/>
        </w:rPr>
        <w:t>C</w:t>
      </w:r>
      <w:r w:rsidR="002E1529" w:rsidRPr="009B2080">
        <w:rPr>
          <w:rFonts w:ascii="Times New Roman" w:hAnsi="Times New Roman" w:cs="Times New Roman"/>
          <w:sz w:val="28"/>
          <w:szCs w:val="28"/>
        </w:rPr>
        <w:t xml:space="preserve">ross have specific programmes on </w:t>
      </w:r>
      <w:r w:rsidR="00F50481" w:rsidRPr="009B2080">
        <w:rPr>
          <w:rFonts w:ascii="Times New Roman" w:hAnsi="Times New Roman" w:cs="Times New Roman"/>
          <w:sz w:val="28"/>
          <w:szCs w:val="28"/>
        </w:rPr>
        <w:t xml:space="preserve">Sexual and gender-based violence </w:t>
      </w:r>
      <w:r w:rsidR="00E43103" w:rsidRPr="009B2080">
        <w:rPr>
          <w:rFonts w:ascii="Times New Roman" w:hAnsi="Times New Roman" w:cs="Times New Roman"/>
          <w:sz w:val="28"/>
          <w:szCs w:val="28"/>
        </w:rPr>
        <w:t>SGBV in Dad</w:t>
      </w:r>
      <w:r w:rsidR="00F50481" w:rsidRPr="009B2080">
        <w:rPr>
          <w:rFonts w:ascii="Times New Roman" w:hAnsi="Times New Roman" w:cs="Times New Roman"/>
          <w:sz w:val="28"/>
          <w:szCs w:val="28"/>
        </w:rPr>
        <w:t>a</w:t>
      </w:r>
      <w:r w:rsidR="00E43103" w:rsidRPr="009B2080">
        <w:rPr>
          <w:rFonts w:ascii="Times New Roman" w:hAnsi="Times New Roman" w:cs="Times New Roman"/>
          <w:sz w:val="28"/>
          <w:szCs w:val="28"/>
        </w:rPr>
        <w:t>ab.</w:t>
      </w:r>
      <w:r w:rsidR="001F58D0" w:rsidRPr="009B2080">
        <w:rPr>
          <w:rFonts w:ascii="Times New Roman" w:hAnsi="Times New Roman" w:cs="Times New Roman"/>
          <w:sz w:val="28"/>
          <w:szCs w:val="28"/>
        </w:rPr>
        <w:t xml:space="preserve">  There are OVC</w:t>
      </w:r>
      <w:r w:rsidR="00F50481" w:rsidRPr="009B2080">
        <w:rPr>
          <w:rFonts w:ascii="Times New Roman" w:hAnsi="Times New Roman" w:cs="Times New Roman"/>
          <w:sz w:val="28"/>
          <w:szCs w:val="28"/>
        </w:rPr>
        <w:t xml:space="preserve"> (Orphans </w:t>
      </w:r>
      <w:r w:rsidR="00DD6BCB" w:rsidRPr="009B2080">
        <w:rPr>
          <w:rFonts w:ascii="Times New Roman" w:hAnsi="Times New Roman" w:cs="Times New Roman"/>
          <w:sz w:val="28"/>
          <w:szCs w:val="28"/>
        </w:rPr>
        <w:t>and</w:t>
      </w:r>
      <w:r w:rsidR="00F50481" w:rsidRPr="009B2080">
        <w:rPr>
          <w:rFonts w:ascii="Times New Roman" w:hAnsi="Times New Roman" w:cs="Times New Roman"/>
          <w:sz w:val="28"/>
          <w:szCs w:val="28"/>
        </w:rPr>
        <w:t xml:space="preserve"> Vulnerable Children)</w:t>
      </w:r>
      <w:r w:rsidR="001F58D0" w:rsidRPr="009B2080">
        <w:rPr>
          <w:rFonts w:ascii="Times New Roman" w:hAnsi="Times New Roman" w:cs="Times New Roman"/>
          <w:sz w:val="28"/>
          <w:szCs w:val="28"/>
        </w:rPr>
        <w:t xml:space="preserve"> projects in Southern Africa promoting child protection and supporting marginalised</w:t>
      </w:r>
      <w:r w:rsidR="007B69CB" w:rsidRPr="009B2080">
        <w:rPr>
          <w:rFonts w:ascii="Times New Roman" w:hAnsi="Times New Roman" w:cs="Times New Roman"/>
          <w:sz w:val="28"/>
          <w:szCs w:val="28"/>
        </w:rPr>
        <w:t>,</w:t>
      </w:r>
      <w:r w:rsidR="001F58D0" w:rsidRPr="009B2080">
        <w:rPr>
          <w:rFonts w:ascii="Times New Roman" w:hAnsi="Times New Roman" w:cs="Times New Roman"/>
          <w:sz w:val="28"/>
          <w:szCs w:val="28"/>
        </w:rPr>
        <w:t xml:space="preserve"> </w:t>
      </w:r>
      <w:r w:rsidR="007B69CB" w:rsidRPr="009B2080">
        <w:rPr>
          <w:rFonts w:ascii="Times New Roman" w:hAnsi="Times New Roman" w:cs="Times New Roman"/>
          <w:sz w:val="28"/>
          <w:szCs w:val="28"/>
        </w:rPr>
        <w:t>o</w:t>
      </w:r>
      <w:r w:rsidR="001F58D0" w:rsidRPr="009B2080">
        <w:rPr>
          <w:rFonts w:ascii="Times New Roman" w:hAnsi="Times New Roman" w:cs="Times New Roman"/>
          <w:sz w:val="28"/>
          <w:szCs w:val="28"/>
        </w:rPr>
        <w:t>rphaned and vulnerable children (OVCs) due to HIV/AID</w:t>
      </w:r>
      <w:r w:rsidR="00F50481" w:rsidRPr="009B2080">
        <w:rPr>
          <w:rFonts w:ascii="Times New Roman" w:hAnsi="Times New Roman" w:cs="Times New Roman"/>
          <w:sz w:val="28"/>
          <w:szCs w:val="28"/>
        </w:rPr>
        <w:t>S</w:t>
      </w:r>
      <w:r w:rsidR="007B69CB" w:rsidRPr="009B2080">
        <w:rPr>
          <w:rFonts w:ascii="Times New Roman" w:hAnsi="Times New Roman" w:cs="Times New Roman"/>
          <w:sz w:val="28"/>
          <w:szCs w:val="28"/>
        </w:rPr>
        <w:t>.</w:t>
      </w:r>
      <w:r w:rsidR="001F58D0" w:rsidRPr="009B2080">
        <w:rPr>
          <w:rFonts w:ascii="Times New Roman" w:hAnsi="Times New Roman" w:cs="Times New Roman"/>
          <w:sz w:val="28"/>
          <w:szCs w:val="28"/>
        </w:rPr>
        <w:t xml:space="preserve">  </w:t>
      </w:r>
      <w:r w:rsidR="00741A8F" w:rsidRPr="009B2080">
        <w:rPr>
          <w:rFonts w:ascii="Times New Roman" w:hAnsi="Times New Roman" w:cs="Times New Roman"/>
          <w:sz w:val="28"/>
          <w:szCs w:val="28"/>
        </w:rPr>
        <w:t>The project is receiving social grants to support OVCs.</w:t>
      </w:r>
    </w:p>
    <w:p w14:paraId="594EA060" w14:textId="77777777" w:rsidR="00E43103" w:rsidRPr="009B2080" w:rsidRDefault="00E43103"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386B646F" w14:textId="77777777" w:rsidR="00E43103" w:rsidRPr="009B2080" w:rsidRDefault="00E43103" w:rsidP="009B2080">
      <w:pPr>
        <w:spacing w:after="0" w:line="240" w:lineRule="auto"/>
        <w:jc w:val="both"/>
        <w:rPr>
          <w:rFonts w:ascii="Times New Roman" w:hAnsi="Times New Roman" w:cs="Times New Roman"/>
          <w:b/>
          <w:sz w:val="28"/>
          <w:szCs w:val="28"/>
        </w:rPr>
      </w:pPr>
    </w:p>
    <w:p w14:paraId="0AF8BCD6" w14:textId="49B91143" w:rsidR="00E43103" w:rsidRPr="009B2080" w:rsidRDefault="00E43103"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w:t>
      </w:r>
      <w:r w:rsidR="00B70915" w:rsidRPr="009B2080">
        <w:rPr>
          <w:rFonts w:ascii="Times New Roman" w:hAnsi="Times New Roman" w:cs="Times New Roman"/>
          <w:sz w:val="28"/>
          <w:szCs w:val="28"/>
        </w:rPr>
        <w:t xml:space="preserve">a </w:t>
      </w:r>
      <w:r w:rsidRPr="009B2080">
        <w:rPr>
          <w:rFonts w:ascii="Times New Roman" w:hAnsi="Times New Roman" w:cs="Times New Roman"/>
          <w:sz w:val="28"/>
          <w:szCs w:val="28"/>
        </w:rPr>
        <w:t xml:space="preserve">need to design a scorecard for IFRC that will evaluate performance taking into consideration top-down accountability. The performance should not only be </w:t>
      </w:r>
      <w:r w:rsidR="006756CC" w:rsidRPr="009B2080">
        <w:rPr>
          <w:rFonts w:ascii="Times New Roman" w:hAnsi="Times New Roman" w:cs="Times New Roman"/>
          <w:sz w:val="28"/>
          <w:szCs w:val="28"/>
        </w:rPr>
        <w:t>isolated function</w:t>
      </w:r>
      <w:r w:rsidRPr="009B2080">
        <w:rPr>
          <w:rFonts w:ascii="Times New Roman" w:hAnsi="Times New Roman" w:cs="Times New Roman"/>
          <w:sz w:val="28"/>
          <w:szCs w:val="28"/>
        </w:rPr>
        <w:t xml:space="preserve"> but part of IFRC strategy. To improve the efficiency in data collection, phone-based monitoring tool should be deployed and require all project managers to report </w:t>
      </w:r>
      <w:r w:rsidR="000E27B9" w:rsidRPr="009B2080">
        <w:rPr>
          <w:rFonts w:ascii="Times New Roman" w:hAnsi="Times New Roman" w:cs="Times New Roman"/>
          <w:sz w:val="28"/>
          <w:szCs w:val="28"/>
        </w:rPr>
        <w:t>through mobile based data collection system</w:t>
      </w:r>
      <w:r w:rsidRPr="009B2080">
        <w:rPr>
          <w:rFonts w:ascii="Times New Roman" w:hAnsi="Times New Roman" w:cs="Times New Roman"/>
          <w:sz w:val="28"/>
          <w:szCs w:val="28"/>
        </w:rPr>
        <w:t>. This may require a PMER staff on loan to support some countries with the new system. Finally, IFRC to support NS with relevant projects on Social Inclusion since some are not aware of the support that IFRC provides.</w:t>
      </w:r>
      <w:r w:rsidR="005D03D6" w:rsidRPr="009B2080">
        <w:rPr>
          <w:rFonts w:ascii="Times New Roman" w:hAnsi="Times New Roman" w:cs="Times New Roman"/>
          <w:sz w:val="28"/>
          <w:szCs w:val="28"/>
        </w:rPr>
        <w:t xml:space="preserve"> </w:t>
      </w:r>
    </w:p>
    <w:p w14:paraId="03710E4D" w14:textId="77777777" w:rsidR="00E43103" w:rsidRPr="009B2080" w:rsidRDefault="00E43103" w:rsidP="009B2080">
      <w:pPr>
        <w:spacing w:after="0" w:line="240" w:lineRule="auto"/>
        <w:jc w:val="both"/>
        <w:rPr>
          <w:rFonts w:ascii="Times New Roman" w:hAnsi="Times New Roman" w:cs="Times New Roman"/>
          <w:sz w:val="28"/>
          <w:szCs w:val="28"/>
        </w:rPr>
      </w:pPr>
    </w:p>
    <w:p w14:paraId="5047BAD9" w14:textId="77777777" w:rsidR="008F4976" w:rsidRPr="009B2080" w:rsidRDefault="008F4976" w:rsidP="009B2080">
      <w:pPr>
        <w:spacing w:after="0" w:line="240" w:lineRule="auto"/>
        <w:jc w:val="both"/>
        <w:rPr>
          <w:rFonts w:ascii="Times New Roman" w:hAnsi="Times New Roman" w:cs="Times New Roman"/>
          <w:b/>
          <w:sz w:val="28"/>
          <w:szCs w:val="28"/>
        </w:rPr>
      </w:pPr>
    </w:p>
    <w:p w14:paraId="4FFDA0CA" w14:textId="77777777" w:rsidR="008F4976" w:rsidRPr="009B2080" w:rsidRDefault="008F4976" w:rsidP="009B2080">
      <w:pPr>
        <w:spacing w:after="0" w:line="240" w:lineRule="auto"/>
        <w:jc w:val="both"/>
        <w:rPr>
          <w:rFonts w:ascii="Times New Roman" w:hAnsi="Times New Roman" w:cs="Times New Roman"/>
          <w:b/>
          <w:sz w:val="28"/>
          <w:szCs w:val="28"/>
        </w:rPr>
      </w:pPr>
    </w:p>
    <w:p w14:paraId="4DE41C25" w14:textId="77777777" w:rsidR="008F4976" w:rsidRPr="009B2080" w:rsidRDefault="008F4976" w:rsidP="009B2080">
      <w:pPr>
        <w:spacing w:after="0" w:line="240" w:lineRule="auto"/>
        <w:jc w:val="both"/>
        <w:rPr>
          <w:rFonts w:ascii="Times New Roman" w:hAnsi="Times New Roman" w:cs="Times New Roman"/>
          <w:b/>
          <w:sz w:val="28"/>
          <w:szCs w:val="28"/>
        </w:rPr>
      </w:pPr>
    </w:p>
    <w:p w14:paraId="233E4810" w14:textId="43189CE5" w:rsidR="000D13F9" w:rsidRPr="009B2080" w:rsidRDefault="0015633F"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A</w:t>
      </w:r>
      <w:r w:rsidR="000D13F9" w:rsidRPr="009B2080">
        <w:rPr>
          <w:rFonts w:ascii="Times New Roman" w:hAnsi="Times New Roman" w:cs="Times New Roman"/>
          <w:b/>
          <w:sz w:val="28"/>
          <w:szCs w:val="28"/>
        </w:rPr>
        <w:t>OF 7: CULTURE OF PEACE AND NON-VIOLENCE</w:t>
      </w:r>
      <w:r w:rsidR="008F4976" w:rsidRPr="009B2080">
        <w:rPr>
          <w:rFonts w:ascii="Times New Roman" w:hAnsi="Times New Roman" w:cs="Times New Roman"/>
          <w:b/>
          <w:sz w:val="28"/>
          <w:szCs w:val="28"/>
        </w:rPr>
        <w:br/>
      </w:r>
    </w:p>
    <w:p w14:paraId="275F481C" w14:textId="5E85103D" w:rsidR="006728D7" w:rsidRPr="009B2080" w:rsidRDefault="00073D09"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 </w:t>
      </w:r>
      <w:r w:rsidR="005D03D6" w:rsidRPr="009B2080">
        <w:rPr>
          <w:rFonts w:ascii="Times New Roman" w:hAnsi="Times New Roman" w:cs="Times New Roman"/>
          <w:sz w:val="28"/>
          <w:szCs w:val="28"/>
        </w:rPr>
        <w:t>AOF had a score of 2.9 which signifies a good progress</w:t>
      </w:r>
      <w:r w:rsidR="00B35A38" w:rsidRPr="009B2080">
        <w:rPr>
          <w:rFonts w:ascii="Times New Roman" w:hAnsi="Times New Roman" w:cs="Times New Roman"/>
          <w:sz w:val="28"/>
          <w:szCs w:val="28"/>
        </w:rPr>
        <w:t>.</w:t>
      </w:r>
      <w:r w:rsidR="00F87DF4" w:rsidRPr="009B2080">
        <w:rPr>
          <w:rFonts w:ascii="Times New Roman" w:hAnsi="Times New Roman" w:cs="Times New Roman"/>
          <w:sz w:val="28"/>
          <w:szCs w:val="28"/>
        </w:rPr>
        <w:t xml:space="preserve"> </w:t>
      </w:r>
      <w:r w:rsidR="00B35A38" w:rsidRPr="009B2080">
        <w:rPr>
          <w:rFonts w:ascii="Times New Roman" w:hAnsi="Times New Roman" w:cs="Times New Roman"/>
          <w:sz w:val="28"/>
          <w:szCs w:val="28"/>
        </w:rPr>
        <w:t>however,</w:t>
      </w:r>
      <w:r w:rsidR="00F87DF4" w:rsidRPr="009B2080">
        <w:rPr>
          <w:rFonts w:ascii="Times New Roman" w:hAnsi="Times New Roman" w:cs="Times New Roman"/>
          <w:sz w:val="28"/>
          <w:szCs w:val="28"/>
        </w:rPr>
        <w:t xml:space="preserve"> there is still </w:t>
      </w:r>
      <w:r w:rsidR="00B35A38" w:rsidRPr="009B2080">
        <w:rPr>
          <w:rFonts w:ascii="Times New Roman" w:hAnsi="Times New Roman" w:cs="Times New Roman"/>
          <w:sz w:val="28"/>
          <w:szCs w:val="28"/>
        </w:rPr>
        <w:t xml:space="preserve">a </w:t>
      </w:r>
      <w:r w:rsidR="00F87DF4" w:rsidRPr="009B2080">
        <w:rPr>
          <w:rFonts w:ascii="Times New Roman" w:hAnsi="Times New Roman" w:cs="Times New Roman"/>
          <w:sz w:val="28"/>
          <w:szCs w:val="28"/>
        </w:rPr>
        <w:t>great need</w:t>
      </w:r>
      <w:r w:rsidR="00B35A38" w:rsidRPr="009B2080">
        <w:rPr>
          <w:rFonts w:ascii="Times New Roman" w:hAnsi="Times New Roman" w:cs="Times New Roman"/>
          <w:sz w:val="28"/>
          <w:szCs w:val="28"/>
        </w:rPr>
        <w:t xml:space="preserve"> for support</w:t>
      </w:r>
      <w:r w:rsidR="00F87DF4" w:rsidRPr="009B2080">
        <w:rPr>
          <w:rFonts w:ascii="Times New Roman" w:hAnsi="Times New Roman" w:cs="Times New Roman"/>
          <w:sz w:val="28"/>
          <w:szCs w:val="28"/>
        </w:rPr>
        <w:t xml:space="preserve"> for affected countries. </w:t>
      </w:r>
      <w:r w:rsidR="006728D7" w:rsidRPr="009B2080">
        <w:rPr>
          <w:rFonts w:ascii="Times New Roman" w:hAnsi="Times New Roman" w:cs="Times New Roman"/>
          <w:sz w:val="28"/>
          <w:szCs w:val="28"/>
        </w:rPr>
        <w:t>IFRC supported NSs t</w:t>
      </w:r>
      <w:r w:rsidR="00836E0E" w:rsidRPr="009B2080">
        <w:rPr>
          <w:rFonts w:ascii="Times New Roman" w:hAnsi="Times New Roman" w:cs="Times New Roman"/>
          <w:sz w:val="28"/>
          <w:szCs w:val="28"/>
        </w:rPr>
        <w:t xml:space="preserve">o implement awareness raising and public sensitization campaigns as part of the emergency appeal. It also facilitated NSs in delivering community based initiatives that promote social inclusion, safety nets and access to basic services. This was achieved through implementing activities targeting OVCs in </w:t>
      </w:r>
      <w:r w:rsidR="00B70915" w:rsidRPr="009B2080">
        <w:rPr>
          <w:rFonts w:ascii="Times New Roman" w:hAnsi="Times New Roman" w:cs="Times New Roman"/>
          <w:sz w:val="28"/>
          <w:szCs w:val="28"/>
        </w:rPr>
        <w:t xml:space="preserve">six </w:t>
      </w:r>
      <w:r w:rsidR="00836E0E" w:rsidRPr="009B2080">
        <w:rPr>
          <w:rFonts w:ascii="Times New Roman" w:hAnsi="Times New Roman" w:cs="Times New Roman"/>
          <w:sz w:val="28"/>
          <w:szCs w:val="28"/>
        </w:rPr>
        <w:t xml:space="preserve">countries. There is also </w:t>
      </w:r>
      <w:r w:rsidR="00B70915" w:rsidRPr="009B2080">
        <w:rPr>
          <w:rFonts w:ascii="Times New Roman" w:hAnsi="Times New Roman" w:cs="Times New Roman"/>
          <w:sz w:val="28"/>
          <w:szCs w:val="28"/>
        </w:rPr>
        <w:t xml:space="preserve">an </w:t>
      </w:r>
      <w:r w:rsidR="00836E0E" w:rsidRPr="009B2080">
        <w:rPr>
          <w:rFonts w:ascii="Times New Roman" w:hAnsi="Times New Roman" w:cs="Times New Roman"/>
          <w:sz w:val="28"/>
          <w:szCs w:val="28"/>
        </w:rPr>
        <w:t xml:space="preserve">increased use of data for decision making through use of operations room. This in the long term will help in proper targeting </w:t>
      </w:r>
      <w:r w:rsidR="00F87DF4" w:rsidRPr="009B2080">
        <w:rPr>
          <w:rFonts w:ascii="Times New Roman" w:hAnsi="Times New Roman" w:cs="Times New Roman"/>
          <w:sz w:val="28"/>
          <w:szCs w:val="28"/>
        </w:rPr>
        <w:t>and</w:t>
      </w:r>
      <w:r w:rsidR="00836E0E" w:rsidRPr="009B2080">
        <w:rPr>
          <w:rFonts w:ascii="Times New Roman" w:hAnsi="Times New Roman" w:cs="Times New Roman"/>
          <w:sz w:val="28"/>
          <w:szCs w:val="28"/>
        </w:rPr>
        <w:t xml:space="preserve"> support to the various countries specific needs based on evidence generated through shared data.</w:t>
      </w:r>
    </w:p>
    <w:p w14:paraId="0D5E19CA" w14:textId="77777777" w:rsidR="00F87DF4" w:rsidRPr="009B2080" w:rsidRDefault="00F87DF4" w:rsidP="009B2080">
      <w:pPr>
        <w:spacing w:after="0" w:line="240" w:lineRule="auto"/>
        <w:jc w:val="both"/>
        <w:rPr>
          <w:rFonts w:ascii="Times New Roman" w:hAnsi="Times New Roman" w:cs="Times New Roman"/>
          <w:sz w:val="28"/>
          <w:szCs w:val="28"/>
        </w:rPr>
      </w:pPr>
    </w:p>
    <w:p w14:paraId="6E101606" w14:textId="77777777" w:rsidR="00F87DF4" w:rsidRPr="009B2080" w:rsidRDefault="00F87DF4"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7A29D47E" w14:textId="33216496" w:rsidR="00F87DF4" w:rsidRPr="009B2080" w:rsidRDefault="00ED6464"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w:t>
      </w:r>
      <w:r w:rsidR="00B70915" w:rsidRPr="009B2080">
        <w:rPr>
          <w:rFonts w:ascii="Times New Roman" w:hAnsi="Times New Roman" w:cs="Times New Roman"/>
          <w:sz w:val="28"/>
          <w:szCs w:val="28"/>
        </w:rPr>
        <w:t xml:space="preserve">a </w:t>
      </w:r>
      <w:r w:rsidRPr="009B2080">
        <w:rPr>
          <w:rFonts w:ascii="Times New Roman" w:hAnsi="Times New Roman" w:cs="Times New Roman"/>
          <w:sz w:val="28"/>
          <w:szCs w:val="28"/>
        </w:rPr>
        <w:t>need to document and prioritize countries</w:t>
      </w:r>
      <w:r w:rsidR="00871FF7" w:rsidRPr="009B2080">
        <w:rPr>
          <w:rFonts w:ascii="Times New Roman" w:hAnsi="Times New Roman" w:cs="Times New Roman"/>
          <w:sz w:val="28"/>
          <w:szCs w:val="28"/>
        </w:rPr>
        <w:t xml:space="preserve">, and to provide more systematic support. It should be noted however, that in 2018 AoF 6 and AoF 7 will be merged into a new AoF for protection and inclusion. Milestones will be reviewed and amended going forward to reflect this change. </w:t>
      </w:r>
    </w:p>
    <w:p w14:paraId="31C9F0C4" w14:textId="77777777" w:rsidR="00816C66" w:rsidRPr="009B2080" w:rsidRDefault="00816C66" w:rsidP="009B2080">
      <w:pPr>
        <w:spacing w:after="0" w:line="240" w:lineRule="auto"/>
        <w:jc w:val="both"/>
        <w:rPr>
          <w:rFonts w:ascii="Times New Roman" w:hAnsi="Times New Roman" w:cs="Times New Roman"/>
          <w:b/>
          <w:sz w:val="28"/>
          <w:szCs w:val="28"/>
        </w:rPr>
      </w:pPr>
    </w:p>
    <w:p w14:paraId="2B2666F2" w14:textId="77777777" w:rsidR="00ED6464" w:rsidRPr="009B2080" w:rsidRDefault="00ED6464" w:rsidP="009B2080">
      <w:pPr>
        <w:spacing w:after="0" w:line="240" w:lineRule="auto"/>
        <w:jc w:val="both"/>
        <w:rPr>
          <w:rFonts w:ascii="Times New Roman" w:hAnsi="Times New Roman" w:cs="Times New Roman"/>
          <w:b/>
          <w:sz w:val="28"/>
          <w:szCs w:val="28"/>
        </w:rPr>
      </w:pPr>
    </w:p>
    <w:p w14:paraId="7B482049" w14:textId="77777777" w:rsidR="00982513" w:rsidRPr="009B2080" w:rsidRDefault="00982513"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AOF 8: MIGRATION</w:t>
      </w:r>
    </w:p>
    <w:p w14:paraId="190B9093" w14:textId="77777777" w:rsidR="00DB2AB3" w:rsidRPr="009B2080" w:rsidRDefault="00DB2AB3" w:rsidP="009B2080">
      <w:pPr>
        <w:spacing w:after="0" w:line="240" w:lineRule="auto"/>
        <w:jc w:val="both"/>
        <w:rPr>
          <w:rFonts w:ascii="Times New Roman" w:hAnsi="Times New Roman" w:cs="Times New Roman"/>
          <w:b/>
          <w:sz w:val="28"/>
          <w:szCs w:val="28"/>
        </w:rPr>
      </w:pPr>
    </w:p>
    <w:p w14:paraId="6BB61B36" w14:textId="4C96D1A3" w:rsidR="00DB2AB3" w:rsidRPr="009B2080" w:rsidRDefault="00683DC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Migration had a score of 2.9 out of 5.  </w:t>
      </w:r>
      <w:r w:rsidR="00042342" w:rsidRPr="009B2080">
        <w:rPr>
          <w:rFonts w:ascii="Times New Roman" w:hAnsi="Times New Roman" w:cs="Times New Roman"/>
          <w:sz w:val="28"/>
          <w:szCs w:val="28"/>
        </w:rPr>
        <w:t xml:space="preserve">Discussions </w:t>
      </w:r>
      <w:r w:rsidR="00B82B60" w:rsidRPr="009B2080">
        <w:rPr>
          <w:rFonts w:ascii="Times New Roman" w:hAnsi="Times New Roman" w:cs="Times New Roman"/>
          <w:sz w:val="28"/>
          <w:szCs w:val="28"/>
        </w:rPr>
        <w:t>have</w:t>
      </w:r>
      <w:r w:rsidR="00042342" w:rsidRPr="009B2080">
        <w:rPr>
          <w:rFonts w:ascii="Times New Roman" w:hAnsi="Times New Roman" w:cs="Times New Roman"/>
          <w:sz w:val="28"/>
          <w:szCs w:val="28"/>
        </w:rPr>
        <w:t xml:space="preserve"> been held in E</w:t>
      </w:r>
      <w:r w:rsidR="00B82B60" w:rsidRPr="009B2080">
        <w:rPr>
          <w:rFonts w:ascii="Times New Roman" w:hAnsi="Times New Roman" w:cs="Times New Roman"/>
          <w:sz w:val="28"/>
          <w:szCs w:val="28"/>
        </w:rPr>
        <w:t xml:space="preserve">ast Africa and Indian Ocean </w:t>
      </w:r>
      <w:r w:rsidR="00042342" w:rsidRPr="009B2080">
        <w:rPr>
          <w:rFonts w:ascii="Times New Roman" w:hAnsi="Times New Roman" w:cs="Times New Roman"/>
          <w:sz w:val="28"/>
          <w:szCs w:val="28"/>
        </w:rPr>
        <w:t>D</w:t>
      </w:r>
      <w:r w:rsidR="00B82B60" w:rsidRPr="009B2080">
        <w:rPr>
          <w:rFonts w:ascii="Times New Roman" w:hAnsi="Times New Roman" w:cs="Times New Roman"/>
          <w:sz w:val="28"/>
          <w:szCs w:val="28"/>
        </w:rPr>
        <w:t>isaster Management</w:t>
      </w:r>
      <w:r w:rsidR="00042342" w:rsidRPr="009B2080">
        <w:rPr>
          <w:rFonts w:ascii="Times New Roman" w:hAnsi="Times New Roman" w:cs="Times New Roman"/>
          <w:sz w:val="28"/>
          <w:szCs w:val="28"/>
        </w:rPr>
        <w:t xml:space="preserve"> meeting</w:t>
      </w:r>
      <w:r w:rsidR="00B82B60" w:rsidRPr="009B2080">
        <w:rPr>
          <w:rFonts w:ascii="Times New Roman" w:hAnsi="Times New Roman" w:cs="Times New Roman"/>
          <w:sz w:val="28"/>
          <w:szCs w:val="28"/>
        </w:rPr>
        <w:t xml:space="preserve">. </w:t>
      </w:r>
      <w:r w:rsidR="00042342" w:rsidRPr="009B2080">
        <w:rPr>
          <w:rFonts w:ascii="Times New Roman" w:hAnsi="Times New Roman" w:cs="Times New Roman"/>
          <w:sz w:val="28"/>
          <w:szCs w:val="28"/>
        </w:rPr>
        <w:t xml:space="preserve"> T</w:t>
      </w:r>
      <w:r w:rsidR="00B82B60" w:rsidRPr="009B2080">
        <w:rPr>
          <w:rFonts w:ascii="Times New Roman" w:hAnsi="Times New Roman" w:cs="Times New Roman"/>
          <w:sz w:val="28"/>
          <w:szCs w:val="28"/>
        </w:rPr>
        <w:t>erms of Reference are</w:t>
      </w:r>
      <w:r w:rsidR="00042342" w:rsidRPr="009B2080">
        <w:rPr>
          <w:rFonts w:ascii="Times New Roman" w:hAnsi="Times New Roman" w:cs="Times New Roman"/>
          <w:sz w:val="28"/>
          <w:szCs w:val="28"/>
        </w:rPr>
        <w:t xml:space="preserve"> being developed for the NSs affected by migration i.e. Ethiopia, Uganda, Burundi, Rwanda and Tanzania</w:t>
      </w:r>
      <w:r w:rsidR="00B82B60" w:rsidRPr="009B2080">
        <w:rPr>
          <w:rFonts w:ascii="Times New Roman" w:hAnsi="Times New Roman" w:cs="Times New Roman"/>
          <w:sz w:val="28"/>
          <w:szCs w:val="28"/>
        </w:rPr>
        <w:t xml:space="preserve"> in order</w:t>
      </w:r>
      <w:r w:rsidR="00042342" w:rsidRPr="009B2080">
        <w:rPr>
          <w:rFonts w:ascii="Times New Roman" w:hAnsi="Times New Roman" w:cs="Times New Roman"/>
          <w:sz w:val="28"/>
          <w:szCs w:val="28"/>
        </w:rPr>
        <w:t xml:space="preserve"> </w:t>
      </w:r>
      <w:r w:rsidR="000A3993" w:rsidRPr="009B2080">
        <w:rPr>
          <w:rFonts w:ascii="Times New Roman" w:hAnsi="Times New Roman" w:cs="Times New Roman"/>
          <w:sz w:val="28"/>
          <w:szCs w:val="28"/>
        </w:rPr>
        <w:t>to</w:t>
      </w:r>
      <w:r w:rsidR="00042342" w:rsidRPr="009B2080">
        <w:rPr>
          <w:rFonts w:ascii="Times New Roman" w:hAnsi="Times New Roman" w:cs="Times New Roman"/>
          <w:sz w:val="28"/>
          <w:szCs w:val="28"/>
        </w:rPr>
        <w:t xml:space="preserve"> establish a comprehensive and coordinated cross-border approach for migration related activities.</w:t>
      </w:r>
      <w:r w:rsidR="000A3993" w:rsidRPr="009B2080">
        <w:rPr>
          <w:rFonts w:ascii="Times New Roman" w:hAnsi="Times New Roman" w:cs="Times New Roman"/>
          <w:sz w:val="28"/>
          <w:szCs w:val="28"/>
        </w:rPr>
        <w:t xml:space="preserve"> It is also important to note that there is </w:t>
      </w:r>
      <w:r w:rsidR="00B82B60" w:rsidRPr="009B2080">
        <w:rPr>
          <w:rFonts w:ascii="Times New Roman" w:hAnsi="Times New Roman" w:cs="Times New Roman"/>
          <w:sz w:val="28"/>
          <w:szCs w:val="28"/>
        </w:rPr>
        <w:t xml:space="preserve">an </w:t>
      </w:r>
      <w:r w:rsidR="000A3993" w:rsidRPr="009B2080">
        <w:rPr>
          <w:rFonts w:ascii="Times New Roman" w:hAnsi="Times New Roman" w:cs="Times New Roman"/>
          <w:sz w:val="28"/>
          <w:szCs w:val="28"/>
        </w:rPr>
        <w:t>ongoing implementation of awareness raising activities and public sensitization campaigns addressing intolerance, discrimination, and negative perceptions towards migrants. Finally, IFRC has ensured interventions that provide protection and assistance to migrants in countries of origin, transit and/or destination</w:t>
      </w:r>
      <w:r w:rsidR="003E4660" w:rsidRPr="009B2080">
        <w:rPr>
          <w:rFonts w:ascii="Times New Roman" w:hAnsi="Times New Roman" w:cs="Times New Roman"/>
          <w:sz w:val="28"/>
          <w:szCs w:val="28"/>
        </w:rPr>
        <w:t>. Where appropriate, these interventions</w:t>
      </w:r>
      <w:r w:rsidR="000A3993" w:rsidRPr="009B2080">
        <w:rPr>
          <w:rFonts w:ascii="Times New Roman" w:hAnsi="Times New Roman" w:cs="Times New Roman"/>
          <w:sz w:val="28"/>
          <w:szCs w:val="28"/>
        </w:rPr>
        <w:t xml:space="preserve"> form part of emergency </w:t>
      </w:r>
      <w:r w:rsidR="003E4660" w:rsidRPr="009B2080">
        <w:rPr>
          <w:rFonts w:ascii="Times New Roman" w:hAnsi="Times New Roman" w:cs="Times New Roman"/>
          <w:sz w:val="28"/>
          <w:szCs w:val="28"/>
        </w:rPr>
        <w:t>appeal.</w:t>
      </w:r>
      <w:r w:rsidR="000A3993" w:rsidRPr="009B2080">
        <w:rPr>
          <w:rFonts w:ascii="Times New Roman" w:hAnsi="Times New Roman" w:cs="Times New Roman"/>
          <w:sz w:val="28"/>
          <w:szCs w:val="28"/>
        </w:rPr>
        <w:t xml:space="preserve"> appropriate.</w:t>
      </w:r>
    </w:p>
    <w:p w14:paraId="443ECF38" w14:textId="77777777" w:rsidR="000A3993" w:rsidRPr="009B2080" w:rsidRDefault="000A3993" w:rsidP="009B2080">
      <w:pPr>
        <w:spacing w:after="0" w:line="240" w:lineRule="auto"/>
        <w:jc w:val="both"/>
        <w:rPr>
          <w:rFonts w:ascii="Times New Roman" w:hAnsi="Times New Roman" w:cs="Times New Roman"/>
          <w:sz w:val="28"/>
          <w:szCs w:val="28"/>
        </w:rPr>
      </w:pPr>
    </w:p>
    <w:p w14:paraId="38A060B3" w14:textId="77777777" w:rsidR="000A3993" w:rsidRPr="009B2080" w:rsidRDefault="000A3993"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7BAA8632" w14:textId="77777777" w:rsidR="000A3993" w:rsidRPr="009B2080" w:rsidRDefault="000A3993" w:rsidP="009B2080">
      <w:pPr>
        <w:spacing w:after="0" w:line="240" w:lineRule="auto"/>
        <w:jc w:val="both"/>
        <w:rPr>
          <w:rFonts w:ascii="Times New Roman" w:hAnsi="Times New Roman" w:cs="Times New Roman"/>
          <w:b/>
          <w:sz w:val="28"/>
          <w:szCs w:val="28"/>
        </w:rPr>
      </w:pPr>
    </w:p>
    <w:p w14:paraId="57EB1DD4" w14:textId="4D3F04D1" w:rsidR="000A3993" w:rsidRPr="009B2080" w:rsidRDefault="000A3993"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w:t>
      </w:r>
      <w:r w:rsidR="00B70915" w:rsidRPr="009B2080">
        <w:rPr>
          <w:rFonts w:ascii="Times New Roman" w:hAnsi="Times New Roman" w:cs="Times New Roman"/>
          <w:sz w:val="28"/>
          <w:szCs w:val="28"/>
        </w:rPr>
        <w:t xml:space="preserve">a </w:t>
      </w:r>
      <w:r w:rsidRPr="009B2080">
        <w:rPr>
          <w:rFonts w:ascii="Times New Roman" w:hAnsi="Times New Roman" w:cs="Times New Roman"/>
          <w:sz w:val="28"/>
          <w:szCs w:val="28"/>
        </w:rPr>
        <w:t>need to document and systematize as well as prioritize the affected countries.</w:t>
      </w:r>
    </w:p>
    <w:p w14:paraId="71E43CFB" w14:textId="77777777" w:rsidR="00DB2AB3" w:rsidRPr="009B2080" w:rsidRDefault="00DB2AB3" w:rsidP="009B2080">
      <w:pPr>
        <w:spacing w:after="0" w:line="240" w:lineRule="auto"/>
        <w:jc w:val="both"/>
        <w:rPr>
          <w:rFonts w:ascii="Times New Roman" w:hAnsi="Times New Roman" w:cs="Times New Roman"/>
          <w:b/>
          <w:sz w:val="28"/>
          <w:szCs w:val="28"/>
        </w:rPr>
      </w:pPr>
    </w:p>
    <w:p w14:paraId="5C0469C2" w14:textId="77777777" w:rsidR="00C0586E" w:rsidRPr="009B2080" w:rsidRDefault="00C0586E" w:rsidP="009B2080">
      <w:pPr>
        <w:jc w:val="both"/>
        <w:rPr>
          <w:rFonts w:ascii="Times New Roman" w:hAnsi="Times New Roman" w:cs="Times New Roman"/>
          <w:b/>
          <w:sz w:val="28"/>
          <w:szCs w:val="28"/>
        </w:rPr>
      </w:pPr>
      <w:r w:rsidRPr="009B2080">
        <w:rPr>
          <w:rFonts w:ascii="Times New Roman" w:hAnsi="Times New Roman" w:cs="Times New Roman"/>
          <w:b/>
          <w:sz w:val="28"/>
          <w:szCs w:val="28"/>
        </w:rPr>
        <w:br w:type="page"/>
      </w:r>
    </w:p>
    <w:p w14:paraId="305A2BFE" w14:textId="77777777" w:rsidR="008C1BB5" w:rsidRPr="009B2080" w:rsidRDefault="007F1891"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lastRenderedPageBreak/>
        <w:t xml:space="preserve">STRATEGIES FOR IMPLEMENTATION </w:t>
      </w:r>
    </w:p>
    <w:p w14:paraId="0E567410" w14:textId="77777777" w:rsidR="00E75C33" w:rsidRPr="009B2080" w:rsidRDefault="00E75C33" w:rsidP="009B2080">
      <w:pPr>
        <w:spacing w:after="0" w:line="240" w:lineRule="auto"/>
        <w:jc w:val="both"/>
        <w:rPr>
          <w:rFonts w:ascii="Times New Roman" w:hAnsi="Times New Roman" w:cs="Times New Roman"/>
          <w:b/>
          <w:sz w:val="28"/>
          <w:szCs w:val="28"/>
        </w:rPr>
      </w:pPr>
    </w:p>
    <w:p w14:paraId="25AF338D" w14:textId="7F935052" w:rsidR="007F1891" w:rsidRPr="009B2080" w:rsidRDefault="00E75C33" w:rsidP="009B2080">
      <w:pPr>
        <w:jc w:val="both"/>
        <w:rPr>
          <w:rFonts w:ascii="Times New Roman" w:hAnsi="Times New Roman" w:cs="Times New Roman"/>
          <w:b/>
          <w:sz w:val="28"/>
          <w:szCs w:val="28"/>
        </w:rPr>
      </w:pPr>
      <w:r w:rsidRPr="009B2080">
        <w:rPr>
          <w:rFonts w:ascii="Times New Roman" w:hAnsi="Times New Roman" w:cs="Times New Roman"/>
          <w:noProof/>
          <w:sz w:val="28"/>
          <w:szCs w:val="28"/>
        </w:rPr>
        <w:drawing>
          <wp:inline distT="0" distB="0" distL="0" distR="0" wp14:anchorId="6A8CA9B2" wp14:editId="3156F0D3">
            <wp:extent cx="5731510" cy="2647315"/>
            <wp:effectExtent l="0" t="0" r="2540" b="635"/>
            <wp:docPr id="2" name="Chart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59625E" w14:textId="77777777" w:rsidR="0037413B" w:rsidRPr="009B2080" w:rsidRDefault="0037413B" w:rsidP="009B2080">
      <w:pPr>
        <w:jc w:val="both"/>
        <w:rPr>
          <w:rFonts w:ascii="Times New Roman" w:hAnsi="Times New Roman" w:cs="Times New Roman"/>
          <w:b/>
          <w:sz w:val="28"/>
          <w:szCs w:val="28"/>
        </w:rPr>
      </w:pPr>
    </w:p>
    <w:p w14:paraId="791F8830" w14:textId="77777777" w:rsidR="00EA1782" w:rsidRPr="009B2080" w:rsidRDefault="00EA1782" w:rsidP="009B2080">
      <w:pPr>
        <w:spacing w:after="0" w:line="240" w:lineRule="auto"/>
        <w:jc w:val="both"/>
        <w:rPr>
          <w:rFonts w:ascii="Times New Roman" w:hAnsi="Times New Roman" w:cs="Times New Roman"/>
          <w:b/>
          <w:sz w:val="28"/>
          <w:szCs w:val="28"/>
        </w:rPr>
      </w:pPr>
    </w:p>
    <w:p w14:paraId="49B883B0" w14:textId="77777777" w:rsidR="00FB1B83" w:rsidRPr="009B2080" w:rsidRDefault="0067560F"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SFI 1: STRENGTHEN NATIONAL SOCIETY CAPACITIES AND ENSURE SUSTAINED AND RELEVANT RED CROSS AND RED CRESCENT PRESENCE IN COMMUNITIES</w:t>
      </w:r>
    </w:p>
    <w:p w14:paraId="46A0C04B" w14:textId="77777777" w:rsidR="00045208" w:rsidRPr="009B2080" w:rsidRDefault="00045208" w:rsidP="009B2080">
      <w:pPr>
        <w:spacing w:after="0" w:line="240" w:lineRule="auto"/>
        <w:jc w:val="both"/>
        <w:rPr>
          <w:rFonts w:ascii="Times New Roman" w:hAnsi="Times New Roman" w:cs="Times New Roman"/>
          <w:b/>
          <w:sz w:val="28"/>
          <w:szCs w:val="28"/>
        </w:rPr>
      </w:pPr>
    </w:p>
    <w:p w14:paraId="1FFDD06B" w14:textId="77777777" w:rsidR="00045208" w:rsidRPr="009B2080" w:rsidRDefault="00045208" w:rsidP="009B2080">
      <w:pPr>
        <w:spacing w:after="0" w:line="240" w:lineRule="auto"/>
        <w:jc w:val="both"/>
        <w:rPr>
          <w:rFonts w:ascii="Times New Roman" w:hAnsi="Times New Roman" w:cs="Times New Roman"/>
          <w:b/>
          <w:sz w:val="28"/>
          <w:szCs w:val="28"/>
        </w:rPr>
      </w:pPr>
    </w:p>
    <w:p w14:paraId="06790F4C" w14:textId="2A6FDA76" w:rsidR="00B46EC1" w:rsidRPr="009B2080" w:rsidRDefault="00A741BD" w:rsidP="009B2080">
      <w:p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bCs/>
          <w:sz w:val="28"/>
          <w:szCs w:val="28"/>
        </w:rPr>
        <w:t>The progress under the SFI</w:t>
      </w:r>
      <w:r w:rsidR="008D3CCC" w:rsidRPr="009B2080">
        <w:rPr>
          <w:rFonts w:ascii="Times New Roman" w:hAnsi="Times New Roman" w:cs="Times New Roman"/>
          <w:bCs/>
          <w:sz w:val="28"/>
          <w:szCs w:val="28"/>
        </w:rPr>
        <w:t xml:space="preserve"> 1</w:t>
      </w:r>
      <w:r w:rsidRPr="009B2080">
        <w:rPr>
          <w:rFonts w:ascii="Times New Roman" w:hAnsi="Times New Roman" w:cs="Times New Roman"/>
          <w:bCs/>
          <w:sz w:val="28"/>
          <w:szCs w:val="28"/>
        </w:rPr>
        <w:t xml:space="preserve"> is</w:t>
      </w:r>
      <w:r w:rsidR="00A30BDD" w:rsidRPr="009B2080">
        <w:rPr>
          <w:rFonts w:ascii="Times New Roman" w:hAnsi="Times New Roman" w:cs="Times New Roman"/>
          <w:sz w:val="28"/>
          <w:szCs w:val="28"/>
        </w:rPr>
        <w:t xml:space="preserve"> rated green with </w:t>
      </w:r>
      <w:r w:rsidR="004855FA" w:rsidRPr="009B2080">
        <w:rPr>
          <w:rFonts w:ascii="Times New Roman" w:hAnsi="Times New Roman" w:cs="Times New Roman"/>
          <w:sz w:val="28"/>
          <w:szCs w:val="28"/>
        </w:rPr>
        <w:t xml:space="preserve">an </w:t>
      </w:r>
      <w:r w:rsidR="00A30BDD" w:rsidRPr="009B2080">
        <w:rPr>
          <w:rFonts w:ascii="Times New Roman" w:hAnsi="Times New Roman" w:cs="Times New Roman"/>
          <w:sz w:val="28"/>
          <w:szCs w:val="28"/>
        </w:rPr>
        <w:t>overall sco</w:t>
      </w:r>
      <w:r w:rsidR="0053204A" w:rsidRPr="009B2080">
        <w:rPr>
          <w:rFonts w:ascii="Times New Roman" w:hAnsi="Times New Roman" w:cs="Times New Roman"/>
          <w:sz w:val="28"/>
          <w:szCs w:val="28"/>
        </w:rPr>
        <w:t>re of 3.5 out of 5</w:t>
      </w:r>
      <w:r w:rsidR="00FB1B83" w:rsidRPr="009B2080">
        <w:rPr>
          <w:rFonts w:ascii="Times New Roman" w:hAnsi="Times New Roman" w:cs="Times New Roman"/>
          <w:sz w:val="28"/>
          <w:szCs w:val="28"/>
        </w:rPr>
        <w:t xml:space="preserve">. </w:t>
      </w:r>
      <w:r w:rsidR="001B5FC1" w:rsidRPr="009B2080">
        <w:rPr>
          <w:rFonts w:ascii="Times New Roman" w:hAnsi="Times New Roman" w:cs="Times New Roman"/>
          <w:sz w:val="28"/>
          <w:szCs w:val="28"/>
        </w:rPr>
        <w:t xml:space="preserve">This is an indication of </w:t>
      </w:r>
      <w:r w:rsidR="0053204A" w:rsidRPr="009B2080">
        <w:rPr>
          <w:rFonts w:ascii="Times New Roman" w:hAnsi="Times New Roman" w:cs="Times New Roman"/>
          <w:sz w:val="28"/>
          <w:szCs w:val="28"/>
        </w:rPr>
        <w:t>very good</w:t>
      </w:r>
      <w:r w:rsidR="001B5FC1" w:rsidRPr="009B2080">
        <w:rPr>
          <w:rFonts w:ascii="Times New Roman" w:hAnsi="Times New Roman" w:cs="Times New Roman"/>
          <w:sz w:val="28"/>
          <w:szCs w:val="28"/>
        </w:rPr>
        <w:t xml:space="preserve"> progress so far regarding achievement of the relevant milestones</w:t>
      </w:r>
      <w:r w:rsidR="00A30BDD" w:rsidRPr="009B2080">
        <w:rPr>
          <w:rFonts w:ascii="Times New Roman" w:hAnsi="Times New Roman" w:cs="Times New Roman"/>
          <w:sz w:val="28"/>
          <w:szCs w:val="28"/>
        </w:rPr>
        <w:t xml:space="preserve">. </w:t>
      </w:r>
      <w:r w:rsidR="00FB1B83" w:rsidRPr="009B2080">
        <w:rPr>
          <w:rFonts w:ascii="Times New Roman" w:hAnsi="Times New Roman" w:cs="Times New Roman"/>
          <w:sz w:val="28"/>
          <w:szCs w:val="28"/>
        </w:rPr>
        <w:t>P</w:t>
      </w:r>
      <w:r w:rsidR="00A30BDD" w:rsidRPr="009B2080">
        <w:rPr>
          <w:rFonts w:ascii="Times New Roman" w:hAnsi="Times New Roman" w:cs="Times New Roman"/>
          <w:sz w:val="28"/>
          <w:szCs w:val="28"/>
        </w:rPr>
        <w:t>rogress achieved so far include</w:t>
      </w:r>
      <w:r w:rsidR="00FB1B83" w:rsidRPr="009B2080">
        <w:rPr>
          <w:rFonts w:ascii="Times New Roman" w:hAnsi="Times New Roman" w:cs="Times New Roman"/>
          <w:sz w:val="28"/>
          <w:szCs w:val="28"/>
        </w:rPr>
        <w:t>s</w:t>
      </w:r>
      <w:r w:rsidR="006372A1" w:rsidRPr="009B2080">
        <w:rPr>
          <w:rFonts w:ascii="Times New Roman" w:hAnsi="Times New Roman" w:cs="Times New Roman"/>
          <w:sz w:val="28"/>
          <w:szCs w:val="28"/>
        </w:rPr>
        <w:t xml:space="preserve"> </w:t>
      </w:r>
      <w:r w:rsidR="0053204A" w:rsidRPr="009B2080">
        <w:rPr>
          <w:rFonts w:ascii="Times New Roman" w:hAnsi="Times New Roman" w:cs="Times New Roman"/>
          <w:sz w:val="28"/>
          <w:szCs w:val="28"/>
        </w:rPr>
        <w:t>contextualizing the movement induction course (MIC) and the induction of branch leadership which was conducted in French and English. National Societ</w:t>
      </w:r>
      <w:r w:rsidR="002673F6" w:rsidRPr="009B2080">
        <w:rPr>
          <w:rFonts w:ascii="Times New Roman" w:hAnsi="Times New Roman" w:cs="Times New Roman"/>
          <w:sz w:val="28"/>
          <w:szCs w:val="28"/>
        </w:rPr>
        <w:t>ies</w:t>
      </w:r>
      <w:r w:rsidR="0053204A" w:rsidRPr="009B2080">
        <w:rPr>
          <w:rFonts w:ascii="Times New Roman" w:hAnsi="Times New Roman" w:cs="Times New Roman"/>
          <w:sz w:val="28"/>
          <w:szCs w:val="28"/>
        </w:rPr>
        <w:t xml:space="preserve"> </w:t>
      </w:r>
      <w:r w:rsidR="002673F6" w:rsidRPr="009B2080">
        <w:rPr>
          <w:rFonts w:ascii="Times New Roman" w:hAnsi="Times New Roman" w:cs="Times New Roman"/>
          <w:sz w:val="28"/>
          <w:szCs w:val="28"/>
        </w:rPr>
        <w:t xml:space="preserve">have </w:t>
      </w:r>
      <w:r w:rsidR="0053204A" w:rsidRPr="009B2080">
        <w:rPr>
          <w:rFonts w:ascii="Times New Roman" w:hAnsi="Times New Roman" w:cs="Times New Roman"/>
          <w:sz w:val="28"/>
          <w:szCs w:val="28"/>
        </w:rPr>
        <w:t xml:space="preserve">started operationalization of the process. As part of capacity enhancement in governance and management, IFRC Somalia Country delegation is working with </w:t>
      </w:r>
      <w:r w:rsidR="002673F6" w:rsidRPr="009B2080">
        <w:rPr>
          <w:rFonts w:ascii="Times New Roman" w:hAnsi="Times New Roman" w:cs="Times New Roman"/>
          <w:sz w:val="28"/>
          <w:szCs w:val="28"/>
        </w:rPr>
        <w:t>Somalia Red Crescent Society (</w:t>
      </w:r>
      <w:r w:rsidR="0053204A" w:rsidRPr="009B2080">
        <w:rPr>
          <w:rFonts w:ascii="Times New Roman" w:hAnsi="Times New Roman" w:cs="Times New Roman"/>
          <w:sz w:val="28"/>
          <w:szCs w:val="28"/>
        </w:rPr>
        <w:t>SRCS</w:t>
      </w:r>
      <w:r w:rsidR="002673F6" w:rsidRPr="009B2080">
        <w:rPr>
          <w:rFonts w:ascii="Times New Roman" w:hAnsi="Times New Roman" w:cs="Times New Roman"/>
          <w:sz w:val="28"/>
          <w:szCs w:val="28"/>
        </w:rPr>
        <w:t>)</w:t>
      </w:r>
      <w:r w:rsidR="0053204A" w:rsidRPr="009B2080">
        <w:rPr>
          <w:rFonts w:ascii="Times New Roman" w:hAnsi="Times New Roman" w:cs="Times New Roman"/>
          <w:sz w:val="28"/>
          <w:szCs w:val="28"/>
        </w:rPr>
        <w:t xml:space="preserve"> leadership to develop a customized leadership development course to meet the identified needs of board members and branch secretaries.</w:t>
      </w:r>
      <w:r w:rsidR="001768C3" w:rsidRPr="009B2080">
        <w:rPr>
          <w:rFonts w:ascii="Times New Roman" w:hAnsi="Times New Roman" w:cs="Times New Roman"/>
          <w:sz w:val="28"/>
          <w:szCs w:val="28"/>
        </w:rPr>
        <w:t xml:space="preserve"> </w:t>
      </w:r>
      <w:r w:rsidR="00B46EC1" w:rsidRPr="009B2080">
        <w:rPr>
          <w:rFonts w:ascii="Times New Roman" w:hAnsi="Times New Roman" w:cs="Times New Roman"/>
          <w:sz w:val="28"/>
          <w:szCs w:val="28"/>
        </w:rPr>
        <w:t xml:space="preserve">As part of </w:t>
      </w:r>
      <w:r w:rsidR="002673F6" w:rsidRPr="009B2080">
        <w:rPr>
          <w:rFonts w:ascii="Times New Roman" w:hAnsi="Times New Roman" w:cs="Times New Roman"/>
          <w:sz w:val="28"/>
          <w:szCs w:val="28"/>
        </w:rPr>
        <w:t>Africa Governance Group (</w:t>
      </w:r>
      <w:r w:rsidR="00B46EC1" w:rsidRPr="009B2080">
        <w:rPr>
          <w:rFonts w:ascii="Times New Roman" w:hAnsi="Times New Roman" w:cs="Times New Roman"/>
          <w:sz w:val="28"/>
          <w:szCs w:val="28"/>
        </w:rPr>
        <w:t>AGG</w:t>
      </w:r>
      <w:r w:rsidR="002673F6" w:rsidRPr="009B2080">
        <w:rPr>
          <w:rFonts w:ascii="Times New Roman" w:hAnsi="Times New Roman" w:cs="Times New Roman"/>
          <w:sz w:val="28"/>
          <w:szCs w:val="28"/>
        </w:rPr>
        <w:t>)</w:t>
      </w:r>
      <w:r w:rsidR="00B46EC1" w:rsidRPr="009B2080">
        <w:rPr>
          <w:rFonts w:ascii="Times New Roman" w:hAnsi="Times New Roman" w:cs="Times New Roman"/>
          <w:sz w:val="28"/>
          <w:szCs w:val="28"/>
        </w:rPr>
        <w:t xml:space="preserve"> support to leadership and Governance, two NS</w:t>
      </w:r>
      <w:r w:rsidR="00376BA7" w:rsidRPr="009B2080">
        <w:rPr>
          <w:rFonts w:ascii="Times New Roman" w:hAnsi="Times New Roman" w:cs="Times New Roman"/>
          <w:sz w:val="28"/>
          <w:szCs w:val="28"/>
        </w:rPr>
        <w:t>s</w:t>
      </w:r>
      <w:r w:rsidR="00B46EC1" w:rsidRPr="009B2080">
        <w:rPr>
          <w:rFonts w:ascii="Times New Roman" w:hAnsi="Times New Roman" w:cs="Times New Roman"/>
          <w:sz w:val="28"/>
          <w:szCs w:val="28"/>
        </w:rPr>
        <w:t xml:space="preserve"> in Southern Africa were supported by the IFRC during their leadership transition and Strategy development process.  One NS successfully revised and adopted new Statutes as part of the legal framework.   </w:t>
      </w:r>
    </w:p>
    <w:p w14:paraId="6731642C" w14:textId="77777777" w:rsidR="0053204A" w:rsidRPr="009B2080" w:rsidRDefault="0053204A" w:rsidP="009B2080">
      <w:pPr>
        <w:shd w:val="clear" w:color="auto" w:fill="FFFFFF" w:themeFill="background1"/>
        <w:spacing w:after="0" w:line="240" w:lineRule="auto"/>
        <w:jc w:val="both"/>
        <w:rPr>
          <w:rFonts w:ascii="Times New Roman" w:hAnsi="Times New Roman" w:cs="Times New Roman"/>
          <w:sz w:val="28"/>
          <w:szCs w:val="28"/>
        </w:rPr>
      </w:pPr>
    </w:p>
    <w:p w14:paraId="6FC5BCFB" w14:textId="399A88CF" w:rsidR="001768C3" w:rsidRPr="009B2080" w:rsidRDefault="001768C3" w:rsidP="009B2080">
      <w:p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There has been significant progress in NS</w:t>
      </w:r>
      <w:r w:rsidR="00376BA7" w:rsidRPr="009B2080">
        <w:rPr>
          <w:rFonts w:ascii="Times New Roman" w:hAnsi="Times New Roman" w:cs="Times New Roman"/>
          <w:sz w:val="28"/>
          <w:szCs w:val="28"/>
        </w:rPr>
        <w:t>s</w:t>
      </w:r>
      <w:r w:rsidRPr="009B2080">
        <w:rPr>
          <w:rFonts w:ascii="Times New Roman" w:hAnsi="Times New Roman" w:cs="Times New Roman"/>
          <w:sz w:val="28"/>
          <w:szCs w:val="28"/>
        </w:rPr>
        <w:t xml:space="preserve"> that have assessed capacity at branch level. For instance, in Southern Africa Cluster, </w:t>
      </w:r>
      <w:r w:rsidR="002673F6" w:rsidRPr="009B2080">
        <w:rPr>
          <w:rFonts w:ascii="Times New Roman" w:hAnsi="Times New Roman" w:cs="Times New Roman"/>
          <w:sz w:val="28"/>
          <w:szCs w:val="28"/>
        </w:rPr>
        <w:t xml:space="preserve">five </w:t>
      </w:r>
      <w:r w:rsidRPr="009B2080">
        <w:rPr>
          <w:rFonts w:ascii="Times New Roman" w:hAnsi="Times New Roman" w:cs="Times New Roman"/>
          <w:sz w:val="28"/>
          <w:szCs w:val="28"/>
        </w:rPr>
        <w:t>NS</w:t>
      </w:r>
      <w:r w:rsidR="002673F6" w:rsidRPr="009B2080">
        <w:rPr>
          <w:rFonts w:ascii="Times New Roman" w:hAnsi="Times New Roman" w:cs="Times New Roman"/>
          <w:sz w:val="28"/>
          <w:szCs w:val="28"/>
        </w:rPr>
        <w:t>s</w:t>
      </w:r>
      <w:r w:rsidRPr="009B2080">
        <w:rPr>
          <w:rFonts w:ascii="Times New Roman" w:hAnsi="Times New Roman" w:cs="Times New Roman"/>
          <w:sz w:val="28"/>
          <w:szCs w:val="28"/>
        </w:rPr>
        <w:t xml:space="preserve"> have conducted OCAC</w:t>
      </w:r>
      <w:r w:rsidR="002673F6" w:rsidRPr="009B2080">
        <w:rPr>
          <w:rFonts w:ascii="Times New Roman" w:hAnsi="Times New Roman" w:cs="Times New Roman"/>
          <w:sz w:val="28"/>
          <w:szCs w:val="28"/>
        </w:rPr>
        <w:t xml:space="preserve"> (</w:t>
      </w:r>
      <w:r w:rsidR="002673F6" w:rsidRPr="009B2080">
        <w:rPr>
          <w:rFonts w:ascii="Times New Roman" w:hAnsi="Times New Roman" w:cs="Times New Roman"/>
          <w:sz w:val="28"/>
          <w:szCs w:val="28"/>
          <w:shd w:val="clear" w:color="auto" w:fill="FFFFFF"/>
        </w:rPr>
        <w:t>Organisational Capacity Assessment and Certification)</w:t>
      </w:r>
      <w:r w:rsidRPr="009B2080">
        <w:rPr>
          <w:rFonts w:ascii="Times New Roman" w:hAnsi="Times New Roman" w:cs="Times New Roman"/>
          <w:sz w:val="28"/>
          <w:szCs w:val="28"/>
        </w:rPr>
        <w:t xml:space="preserve">.  Also, Tanzania and Burundi have finalized OCAC process.  In the case of Somali Red Crescent (SRCS), branch assessment is planned to be carried out in 2018. There are efforts to encourage NSs to carry out BOCA </w:t>
      </w:r>
      <w:r w:rsidR="002673F6" w:rsidRPr="009B2080">
        <w:rPr>
          <w:rFonts w:ascii="Times New Roman" w:hAnsi="Times New Roman" w:cs="Times New Roman"/>
          <w:sz w:val="28"/>
          <w:szCs w:val="28"/>
        </w:rPr>
        <w:t>(</w:t>
      </w:r>
      <w:r w:rsidR="002673F6" w:rsidRPr="009B2080">
        <w:rPr>
          <w:rFonts w:ascii="Times New Roman" w:hAnsi="Times New Roman" w:cs="Times New Roman"/>
          <w:sz w:val="28"/>
          <w:szCs w:val="28"/>
          <w:shd w:val="clear" w:color="auto" w:fill="FFFFFF"/>
        </w:rPr>
        <w:t xml:space="preserve">Branch Organisational Capacity </w:t>
      </w:r>
      <w:r w:rsidR="002673F6" w:rsidRPr="009B2080">
        <w:rPr>
          <w:rFonts w:ascii="Times New Roman" w:hAnsi="Times New Roman" w:cs="Times New Roman"/>
          <w:sz w:val="28"/>
          <w:szCs w:val="28"/>
          <w:shd w:val="clear" w:color="auto" w:fill="FFFFFF"/>
        </w:rPr>
        <w:lastRenderedPageBreak/>
        <w:t xml:space="preserve">Assessment) </w:t>
      </w:r>
      <w:r w:rsidRPr="009B2080">
        <w:rPr>
          <w:rFonts w:ascii="Times New Roman" w:hAnsi="Times New Roman" w:cs="Times New Roman"/>
          <w:sz w:val="28"/>
          <w:szCs w:val="28"/>
        </w:rPr>
        <w:t>through the RCNet</w:t>
      </w:r>
      <w:r w:rsidR="001F58D0" w:rsidRPr="009B2080">
        <w:rPr>
          <w:rFonts w:ascii="Times New Roman" w:hAnsi="Times New Roman" w:cs="Times New Roman"/>
          <w:sz w:val="28"/>
          <w:szCs w:val="28"/>
        </w:rPr>
        <w:t xml:space="preserve"> </w:t>
      </w:r>
      <w:r w:rsidRPr="009B2080">
        <w:rPr>
          <w:rFonts w:ascii="Times New Roman" w:hAnsi="Times New Roman" w:cs="Times New Roman"/>
          <w:sz w:val="28"/>
          <w:szCs w:val="28"/>
        </w:rPr>
        <w:t>working groups</w:t>
      </w:r>
      <w:r w:rsidR="001F58D0" w:rsidRPr="009B2080">
        <w:rPr>
          <w:rFonts w:ascii="Times New Roman" w:hAnsi="Times New Roman" w:cs="Times New Roman"/>
          <w:sz w:val="28"/>
          <w:szCs w:val="28"/>
        </w:rPr>
        <w:t xml:space="preserve"> and SAPRCS</w:t>
      </w:r>
      <w:r w:rsidR="00376BA7" w:rsidRPr="009B2080">
        <w:rPr>
          <w:rFonts w:ascii="Times New Roman" w:hAnsi="Times New Roman" w:cs="Times New Roman"/>
          <w:sz w:val="28"/>
          <w:szCs w:val="28"/>
        </w:rPr>
        <w:t xml:space="preserve"> (Southern Africa Partnership </w:t>
      </w:r>
      <w:r w:rsidR="00B92B47" w:rsidRPr="009B2080">
        <w:rPr>
          <w:rFonts w:ascii="Times New Roman" w:hAnsi="Times New Roman" w:cs="Times New Roman"/>
          <w:sz w:val="28"/>
          <w:szCs w:val="28"/>
        </w:rPr>
        <w:t>of</w:t>
      </w:r>
      <w:r w:rsidR="00376BA7" w:rsidRPr="009B2080">
        <w:rPr>
          <w:rFonts w:ascii="Times New Roman" w:hAnsi="Times New Roman" w:cs="Times New Roman"/>
          <w:sz w:val="28"/>
          <w:szCs w:val="28"/>
        </w:rPr>
        <w:t xml:space="preserve"> Red Cross Societies)</w:t>
      </w:r>
      <w:r w:rsidRPr="009B2080">
        <w:rPr>
          <w:rFonts w:ascii="Times New Roman" w:hAnsi="Times New Roman" w:cs="Times New Roman"/>
          <w:sz w:val="28"/>
          <w:szCs w:val="28"/>
        </w:rPr>
        <w:t xml:space="preserve"> are formed but have not started working.</w:t>
      </w:r>
      <w:r w:rsidR="0070794B" w:rsidRPr="009B2080">
        <w:rPr>
          <w:rFonts w:ascii="Times New Roman" w:hAnsi="Times New Roman" w:cs="Times New Roman"/>
          <w:sz w:val="28"/>
          <w:szCs w:val="28"/>
        </w:rPr>
        <w:t xml:space="preserve"> IFRC has been instrumental in supporting NSs in developing partnerships with various intuitions. A modest progress has been achieved in this area with International Centre for Humanitarian Affairs-KRCS(ICHA) having been identified as one of the external partners to carry out the assessment of leadership and governance needs for the SRCS board and the branches</w:t>
      </w:r>
      <w:r w:rsidR="00BB2DC3" w:rsidRPr="009B2080">
        <w:rPr>
          <w:rFonts w:ascii="Times New Roman" w:hAnsi="Times New Roman" w:cs="Times New Roman"/>
          <w:sz w:val="28"/>
          <w:szCs w:val="28"/>
        </w:rPr>
        <w:t xml:space="preserve">. In addition, strong links have been established through Peri Peri. </w:t>
      </w:r>
    </w:p>
    <w:p w14:paraId="0FEFE1E5" w14:textId="77777777" w:rsidR="00BB2DC3" w:rsidRPr="009B2080" w:rsidRDefault="00BB2DC3" w:rsidP="009B2080">
      <w:pPr>
        <w:shd w:val="clear" w:color="auto" w:fill="FFFFFF" w:themeFill="background1"/>
        <w:spacing w:after="0" w:line="240" w:lineRule="auto"/>
        <w:jc w:val="both"/>
        <w:rPr>
          <w:rFonts w:ascii="Times New Roman" w:hAnsi="Times New Roman" w:cs="Times New Roman"/>
          <w:sz w:val="28"/>
          <w:szCs w:val="28"/>
        </w:rPr>
      </w:pPr>
    </w:p>
    <w:p w14:paraId="3337F1A8" w14:textId="32DDF9D0" w:rsidR="00C30C35" w:rsidRPr="009B2080" w:rsidRDefault="00D7745E" w:rsidP="009B2080">
      <w:pPr>
        <w:jc w:val="both"/>
        <w:rPr>
          <w:rFonts w:ascii="Times New Roman" w:hAnsi="Times New Roman" w:cs="Times New Roman"/>
          <w:sz w:val="28"/>
          <w:szCs w:val="28"/>
        </w:rPr>
      </w:pPr>
      <w:r w:rsidRPr="009B2080">
        <w:rPr>
          <w:rFonts w:ascii="Times New Roman" w:hAnsi="Times New Roman" w:cs="Times New Roman"/>
          <w:sz w:val="28"/>
          <w:szCs w:val="28"/>
        </w:rPr>
        <w:t>To</w:t>
      </w:r>
      <w:r w:rsidR="00BB2DC3" w:rsidRPr="009B2080">
        <w:rPr>
          <w:rFonts w:ascii="Times New Roman" w:hAnsi="Times New Roman" w:cs="Times New Roman"/>
          <w:sz w:val="28"/>
          <w:szCs w:val="28"/>
        </w:rPr>
        <w:t xml:space="preserve"> strengthen the capacity of the national societies to implement and improve in their institutional capacities and frameworks, IFRC awarded seed grants to 35 out of 49 National Societies.</w:t>
      </w:r>
      <w:r w:rsidR="00F76F60" w:rsidRPr="009B2080">
        <w:rPr>
          <w:rFonts w:ascii="Times New Roman" w:hAnsi="Times New Roman" w:cs="Times New Roman"/>
          <w:sz w:val="28"/>
          <w:szCs w:val="28"/>
        </w:rPr>
        <w:t xml:space="preserve"> Also, worth noting is the development and continual update of PAC</w:t>
      </w:r>
      <w:r w:rsidR="003E2DA6" w:rsidRPr="009B2080">
        <w:rPr>
          <w:rFonts w:ascii="Times New Roman" w:hAnsi="Times New Roman" w:cs="Times New Roman"/>
          <w:sz w:val="28"/>
          <w:szCs w:val="28"/>
        </w:rPr>
        <w:t xml:space="preserve"> (Pan African Conference)</w:t>
      </w:r>
      <w:r w:rsidR="00F76F60" w:rsidRPr="009B2080">
        <w:rPr>
          <w:rFonts w:ascii="Times New Roman" w:hAnsi="Times New Roman" w:cs="Times New Roman"/>
          <w:sz w:val="28"/>
          <w:szCs w:val="28"/>
        </w:rPr>
        <w:t xml:space="preserve"> score card. C</w:t>
      </w:r>
      <w:r w:rsidR="00982EC7" w:rsidRPr="009B2080">
        <w:rPr>
          <w:rFonts w:ascii="Times New Roman" w:hAnsi="Times New Roman" w:cs="Times New Roman"/>
          <w:sz w:val="28"/>
          <w:szCs w:val="28"/>
        </w:rPr>
        <w:t>l</w:t>
      </w:r>
      <w:r w:rsidR="00F76F60" w:rsidRPr="009B2080">
        <w:rPr>
          <w:rFonts w:ascii="Times New Roman" w:hAnsi="Times New Roman" w:cs="Times New Roman"/>
          <w:sz w:val="28"/>
          <w:szCs w:val="28"/>
        </w:rPr>
        <w:t>uster</w:t>
      </w:r>
      <w:r w:rsidR="00982EC7" w:rsidRPr="009B2080">
        <w:rPr>
          <w:rFonts w:ascii="Times New Roman" w:hAnsi="Times New Roman" w:cs="Times New Roman"/>
          <w:sz w:val="28"/>
          <w:szCs w:val="28"/>
        </w:rPr>
        <w:t xml:space="preserve"> offices</w:t>
      </w:r>
      <w:r w:rsidR="00F76F60" w:rsidRPr="009B2080">
        <w:rPr>
          <w:rFonts w:ascii="Times New Roman" w:hAnsi="Times New Roman" w:cs="Times New Roman"/>
          <w:sz w:val="28"/>
          <w:szCs w:val="28"/>
        </w:rPr>
        <w:t xml:space="preserve"> work with the NS</w:t>
      </w:r>
      <w:r w:rsidR="00982EC7" w:rsidRPr="009B2080">
        <w:rPr>
          <w:rFonts w:ascii="Times New Roman" w:hAnsi="Times New Roman" w:cs="Times New Roman"/>
          <w:sz w:val="28"/>
          <w:szCs w:val="28"/>
        </w:rPr>
        <w:t>s</w:t>
      </w:r>
      <w:r w:rsidR="00F76F60" w:rsidRPr="009B2080">
        <w:rPr>
          <w:rFonts w:ascii="Times New Roman" w:hAnsi="Times New Roman" w:cs="Times New Roman"/>
          <w:sz w:val="28"/>
          <w:szCs w:val="28"/>
        </w:rPr>
        <w:t xml:space="preserve"> to provide regional NSD</w:t>
      </w:r>
      <w:r w:rsidR="003E2DA6" w:rsidRPr="009B2080">
        <w:rPr>
          <w:rFonts w:ascii="Times New Roman" w:hAnsi="Times New Roman" w:cs="Times New Roman"/>
          <w:sz w:val="28"/>
          <w:szCs w:val="28"/>
        </w:rPr>
        <w:t xml:space="preserve"> (National Society Development)</w:t>
      </w:r>
      <w:r w:rsidR="00F76F60" w:rsidRPr="009B2080">
        <w:rPr>
          <w:rFonts w:ascii="Times New Roman" w:hAnsi="Times New Roman" w:cs="Times New Roman"/>
          <w:sz w:val="28"/>
          <w:szCs w:val="28"/>
        </w:rPr>
        <w:t xml:space="preserve"> information on key PAC indicators quarterl</w:t>
      </w:r>
      <w:r w:rsidR="00982EC7" w:rsidRPr="009B2080">
        <w:rPr>
          <w:rFonts w:ascii="Times New Roman" w:hAnsi="Times New Roman" w:cs="Times New Roman"/>
          <w:sz w:val="28"/>
          <w:szCs w:val="28"/>
        </w:rPr>
        <w:t>y.</w:t>
      </w:r>
    </w:p>
    <w:p w14:paraId="043E8F61" w14:textId="4C84B8B5" w:rsidR="00C30C35" w:rsidRPr="009B2080" w:rsidRDefault="00C30C35" w:rsidP="009B2080">
      <w:pPr>
        <w:jc w:val="both"/>
        <w:rPr>
          <w:rFonts w:ascii="Times New Roman" w:hAnsi="Times New Roman" w:cs="Times New Roman"/>
          <w:sz w:val="28"/>
          <w:szCs w:val="28"/>
        </w:rPr>
      </w:pPr>
      <w:r w:rsidRPr="009B2080">
        <w:rPr>
          <w:rFonts w:ascii="Times New Roman" w:hAnsi="Times New Roman" w:cs="Times New Roman"/>
          <w:sz w:val="28"/>
          <w:szCs w:val="28"/>
        </w:rPr>
        <w:t xml:space="preserve">The SAPRCS meeting held in </w:t>
      </w:r>
      <w:r w:rsidR="00982EC7" w:rsidRPr="009B2080">
        <w:rPr>
          <w:rFonts w:ascii="Times New Roman" w:hAnsi="Times New Roman" w:cs="Times New Roman"/>
          <w:sz w:val="28"/>
          <w:szCs w:val="28"/>
        </w:rPr>
        <w:t>October 2017 reviewed</w:t>
      </w:r>
      <w:r w:rsidRPr="009B2080">
        <w:rPr>
          <w:rFonts w:ascii="Times New Roman" w:hAnsi="Times New Roman" w:cs="Times New Roman"/>
          <w:sz w:val="28"/>
          <w:szCs w:val="28"/>
        </w:rPr>
        <w:t xml:space="preserve"> the Abidjan PAC </w:t>
      </w:r>
      <w:r w:rsidR="00C93E67" w:rsidRPr="009B2080">
        <w:rPr>
          <w:rFonts w:ascii="Times New Roman" w:hAnsi="Times New Roman" w:cs="Times New Roman"/>
          <w:sz w:val="28"/>
          <w:szCs w:val="28"/>
        </w:rPr>
        <w:t>commitments and</w:t>
      </w:r>
      <w:r w:rsidRPr="009B2080">
        <w:rPr>
          <w:rFonts w:ascii="Times New Roman" w:hAnsi="Times New Roman" w:cs="Times New Roman"/>
          <w:sz w:val="28"/>
          <w:szCs w:val="28"/>
        </w:rPr>
        <w:t xml:space="preserve"> agreed on modalities for reporting progress of the PAC indicator</w:t>
      </w:r>
      <w:r w:rsidR="00982EC7" w:rsidRPr="009B2080">
        <w:rPr>
          <w:rFonts w:ascii="Times New Roman" w:hAnsi="Times New Roman" w:cs="Times New Roman"/>
          <w:sz w:val="28"/>
          <w:szCs w:val="28"/>
        </w:rPr>
        <w:t>s</w:t>
      </w:r>
      <w:r w:rsidRPr="009B2080">
        <w:rPr>
          <w:rFonts w:ascii="Times New Roman" w:hAnsi="Times New Roman" w:cs="Times New Roman"/>
          <w:sz w:val="28"/>
          <w:szCs w:val="28"/>
        </w:rPr>
        <w:t>.</w:t>
      </w:r>
    </w:p>
    <w:p w14:paraId="3C70E871" w14:textId="77777777" w:rsidR="00C84835" w:rsidRPr="009B2080" w:rsidRDefault="004B0B09" w:rsidP="009B2080">
      <w:pPr>
        <w:shd w:val="clear" w:color="auto" w:fill="FFFFFF" w:themeFill="background1"/>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5291FA56" w14:textId="77777777" w:rsidR="004B0B09" w:rsidRPr="009B2080" w:rsidRDefault="004B0B09" w:rsidP="009B2080">
      <w:pPr>
        <w:shd w:val="clear" w:color="auto" w:fill="FFFFFF" w:themeFill="background1"/>
        <w:spacing w:after="0" w:line="240" w:lineRule="auto"/>
        <w:jc w:val="both"/>
        <w:rPr>
          <w:rFonts w:ascii="Times New Roman" w:hAnsi="Times New Roman" w:cs="Times New Roman"/>
          <w:b/>
          <w:sz w:val="28"/>
          <w:szCs w:val="28"/>
        </w:rPr>
      </w:pPr>
    </w:p>
    <w:p w14:paraId="453D936D" w14:textId="048607EB" w:rsidR="004B0B09" w:rsidRPr="009B2080" w:rsidRDefault="004B0B09" w:rsidP="009B2080">
      <w:pPr>
        <w:pStyle w:val="ListParagraph"/>
        <w:numPr>
          <w:ilvl w:val="0"/>
          <w:numId w:val="3"/>
        </w:num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w:t>
      </w:r>
      <w:r w:rsidR="003E2DA6" w:rsidRPr="009B2080">
        <w:rPr>
          <w:rFonts w:ascii="Times New Roman" w:hAnsi="Times New Roman" w:cs="Times New Roman"/>
          <w:sz w:val="28"/>
          <w:szCs w:val="28"/>
        </w:rPr>
        <w:t xml:space="preserve">a </w:t>
      </w:r>
      <w:r w:rsidRPr="009B2080">
        <w:rPr>
          <w:rFonts w:ascii="Times New Roman" w:hAnsi="Times New Roman" w:cs="Times New Roman"/>
          <w:sz w:val="28"/>
          <w:szCs w:val="28"/>
        </w:rPr>
        <w:t xml:space="preserve">need to measure the qualitative impact of PAC score card </w:t>
      </w:r>
    </w:p>
    <w:p w14:paraId="664DA2CC" w14:textId="77777777" w:rsidR="004B0B09" w:rsidRPr="009B2080" w:rsidRDefault="004B0B09" w:rsidP="009B2080">
      <w:pPr>
        <w:pStyle w:val="ListParagraph"/>
        <w:numPr>
          <w:ilvl w:val="0"/>
          <w:numId w:val="3"/>
        </w:num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Amendments to Project Grant Agreements for delayed projects</w:t>
      </w:r>
    </w:p>
    <w:p w14:paraId="4B6B6305" w14:textId="39F044EA" w:rsidR="003F0239" w:rsidRPr="009B2080" w:rsidRDefault="003F0239" w:rsidP="009B2080">
      <w:pPr>
        <w:pStyle w:val="ListParagraph"/>
        <w:numPr>
          <w:ilvl w:val="0"/>
          <w:numId w:val="3"/>
        </w:num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Customized leadership enhancement training will be aligned to the Africa regional MIC </w:t>
      </w:r>
      <w:r w:rsidR="003E2DA6" w:rsidRPr="009B2080">
        <w:rPr>
          <w:rFonts w:ascii="Times New Roman" w:hAnsi="Times New Roman" w:cs="Times New Roman"/>
          <w:sz w:val="28"/>
          <w:szCs w:val="28"/>
        </w:rPr>
        <w:t xml:space="preserve">(Movement Induction Course) </w:t>
      </w:r>
      <w:r w:rsidRPr="009B2080">
        <w:rPr>
          <w:rFonts w:ascii="Times New Roman" w:hAnsi="Times New Roman" w:cs="Times New Roman"/>
          <w:sz w:val="28"/>
          <w:szCs w:val="28"/>
        </w:rPr>
        <w:t>and other relevant training</w:t>
      </w:r>
      <w:r w:rsidR="00B92B47" w:rsidRPr="009B2080">
        <w:rPr>
          <w:rFonts w:ascii="Times New Roman" w:hAnsi="Times New Roman" w:cs="Times New Roman"/>
          <w:sz w:val="28"/>
          <w:szCs w:val="28"/>
        </w:rPr>
        <w:t xml:space="preserve"> programmes</w:t>
      </w:r>
      <w:r w:rsidRPr="009B2080">
        <w:rPr>
          <w:rFonts w:ascii="Times New Roman" w:hAnsi="Times New Roman" w:cs="Times New Roman"/>
          <w:sz w:val="28"/>
          <w:szCs w:val="28"/>
        </w:rPr>
        <w:t>.</w:t>
      </w:r>
    </w:p>
    <w:p w14:paraId="51B85D3E" w14:textId="77777777" w:rsidR="00816C66" w:rsidRPr="009B2080" w:rsidRDefault="00816C66" w:rsidP="009B2080">
      <w:pPr>
        <w:spacing w:after="0" w:line="240" w:lineRule="auto"/>
        <w:jc w:val="both"/>
        <w:rPr>
          <w:rFonts w:ascii="Times New Roman" w:hAnsi="Times New Roman" w:cs="Times New Roman"/>
          <w:b/>
          <w:sz w:val="28"/>
          <w:szCs w:val="28"/>
        </w:rPr>
      </w:pPr>
    </w:p>
    <w:p w14:paraId="28DE0019" w14:textId="5190A8D0" w:rsidR="00CC5831" w:rsidRPr="009B2080" w:rsidRDefault="00CC5831"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SFI 2: EFFECTIVE INTERNATIONAL DISASTER MANAGEMENT</w:t>
      </w:r>
      <w:r w:rsidR="00B92B47" w:rsidRPr="009B2080">
        <w:rPr>
          <w:rFonts w:ascii="Times New Roman" w:hAnsi="Times New Roman" w:cs="Times New Roman"/>
          <w:b/>
          <w:sz w:val="28"/>
          <w:szCs w:val="28"/>
        </w:rPr>
        <w:br/>
      </w:r>
    </w:p>
    <w:p w14:paraId="67B67A20" w14:textId="59CA718A" w:rsidR="003F0239" w:rsidRPr="009B2080" w:rsidRDefault="00FB1B83" w:rsidP="009B2080">
      <w:p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This </w:t>
      </w:r>
      <w:r w:rsidR="009B4E95" w:rsidRPr="009B2080">
        <w:rPr>
          <w:rFonts w:ascii="Times New Roman" w:hAnsi="Times New Roman" w:cs="Times New Roman"/>
          <w:sz w:val="28"/>
          <w:szCs w:val="28"/>
        </w:rPr>
        <w:t xml:space="preserve">SFI is rated green with a score of </w:t>
      </w:r>
      <w:r w:rsidR="003F0239" w:rsidRPr="009B2080">
        <w:rPr>
          <w:rFonts w:ascii="Times New Roman" w:hAnsi="Times New Roman" w:cs="Times New Roman"/>
          <w:sz w:val="28"/>
          <w:szCs w:val="28"/>
        </w:rPr>
        <w:t xml:space="preserve">3.8 out </w:t>
      </w:r>
      <w:r w:rsidR="00210631" w:rsidRPr="009B2080">
        <w:rPr>
          <w:rFonts w:ascii="Times New Roman" w:hAnsi="Times New Roman" w:cs="Times New Roman"/>
          <w:sz w:val="28"/>
          <w:szCs w:val="28"/>
        </w:rPr>
        <w:t xml:space="preserve">of </w:t>
      </w:r>
      <w:r w:rsidR="003F0239" w:rsidRPr="009B2080">
        <w:rPr>
          <w:rFonts w:ascii="Times New Roman" w:hAnsi="Times New Roman" w:cs="Times New Roman"/>
          <w:sz w:val="28"/>
          <w:szCs w:val="28"/>
        </w:rPr>
        <w:t>5</w:t>
      </w:r>
      <w:r w:rsidR="009B4E95" w:rsidRPr="009B2080">
        <w:rPr>
          <w:rFonts w:ascii="Times New Roman" w:hAnsi="Times New Roman" w:cs="Times New Roman"/>
          <w:sz w:val="28"/>
          <w:szCs w:val="28"/>
        </w:rPr>
        <w:t xml:space="preserve">. </w:t>
      </w:r>
      <w:r w:rsidR="007D1272" w:rsidRPr="009B2080">
        <w:rPr>
          <w:rFonts w:ascii="Times New Roman" w:hAnsi="Times New Roman" w:cs="Times New Roman"/>
          <w:sz w:val="28"/>
          <w:szCs w:val="28"/>
        </w:rPr>
        <w:t xml:space="preserve">This an indication of </w:t>
      </w:r>
      <w:r w:rsidR="003F0239" w:rsidRPr="009B2080">
        <w:rPr>
          <w:rFonts w:ascii="Times New Roman" w:hAnsi="Times New Roman" w:cs="Times New Roman"/>
          <w:sz w:val="28"/>
          <w:szCs w:val="28"/>
        </w:rPr>
        <w:t>very good</w:t>
      </w:r>
      <w:r w:rsidR="007D1272" w:rsidRPr="009B2080">
        <w:rPr>
          <w:rFonts w:ascii="Times New Roman" w:hAnsi="Times New Roman" w:cs="Times New Roman"/>
          <w:sz w:val="28"/>
          <w:szCs w:val="28"/>
        </w:rPr>
        <w:t xml:space="preserve"> progress made </w:t>
      </w:r>
      <w:r w:rsidR="000D6754" w:rsidRPr="009B2080">
        <w:rPr>
          <w:rFonts w:ascii="Times New Roman" w:hAnsi="Times New Roman" w:cs="Times New Roman"/>
          <w:sz w:val="28"/>
          <w:szCs w:val="28"/>
        </w:rPr>
        <w:t>towards</w:t>
      </w:r>
      <w:r w:rsidR="008D3CCC" w:rsidRPr="009B2080">
        <w:rPr>
          <w:rFonts w:ascii="Times New Roman" w:hAnsi="Times New Roman" w:cs="Times New Roman"/>
          <w:sz w:val="28"/>
          <w:szCs w:val="28"/>
        </w:rPr>
        <w:t xml:space="preserve"> key</w:t>
      </w:r>
      <w:r w:rsidR="005A0A82" w:rsidRPr="009B2080">
        <w:rPr>
          <w:rFonts w:ascii="Times New Roman" w:hAnsi="Times New Roman" w:cs="Times New Roman"/>
          <w:sz w:val="28"/>
          <w:szCs w:val="28"/>
        </w:rPr>
        <w:t xml:space="preserve"> milestones</w:t>
      </w:r>
      <w:r w:rsidR="009B4E95" w:rsidRPr="009B2080">
        <w:rPr>
          <w:rFonts w:ascii="Times New Roman" w:hAnsi="Times New Roman" w:cs="Times New Roman"/>
          <w:sz w:val="28"/>
          <w:szCs w:val="28"/>
        </w:rPr>
        <w:t xml:space="preserve">. </w:t>
      </w:r>
      <w:r w:rsidR="00215E2F" w:rsidRPr="009B2080">
        <w:rPr>
          <w:rFonts w:ascii="Times New Roman" w:hAnsi="Times New Roman" w:cs="Times New Roman"/>
          <w:sz w:val="28"/>
          <w:szCs w:val="28"/>
        </w:rPr>
        <w:t xml:space="preserve"> To provide technical assistance in ensuring DM systems are robust and demonstrate accountability and value for money, </w:t>
      </w:r>
      <w:r w:rsidR="00B2339F" w:rsidRPr="009B2080">
        <w:rPr>
          <w:rFonts w:ascii="Times New Roman" w:hAnsi="Times New Roman" w:cs="Times New Roman"/>
          <w:sz w:val="28"/>
          <w:szCs w:val="28"/>
        </w:rPr>
        <w:t xml:space="preserve">the </w:t>
      </w:r>
      <w:r w:rsidR="00B2339F" w:rsidRPr="009B2080">
        <w:rPr>
          <w:rFonts w:ascii="Times New Roman" w:hAnsi="Times New Roman" w:cs="Times New Roman"/>
          <w:sz w:val="28"/>
          <w:szCs w:val="28"/>
          <w:shd w:val="clear" w:color="auto" w:fill="FFFFFF"/>
        </w:rPr>
        <w:t>African Disaster Management Working Group</w:t>
      </w:r>
      <w:r w:rsidR="00B2339F" w:rsidRPr="009B2080">
        <w:rPr>
          <w:rFonts w:ascii="Times New Roman" w:hAnsi="Times New Roman" w:cs="Times New Roman"/>
          <w:sz w:val="28"/>
          <w:szCs w:val="28"/>
        </w:rPr>
        <w:t xml:space="preserve"> (</w:t>
      </w:r>
      <w:r w:rsidR="00215E2F" w:rsidRPr="009B2080">
        <w:rPr>
          <w:rFonts w:ascii="Times New Roman" w:hAnsi="Times New Roman" w:cs="Times New Roman"/>
          <w:sz w:val="28"/>
          <w:szCs w:val="28"/>
        </w:rPr>
        <w:t>ADMAG</w:t>
      </w:r>
      <w:r w:rsidR="00B2339F" w:rsidRPr="009B2080">
        <w:rPr>
          <w:rFonts w:ascii="Times New Roman" w:hAnsi="Times New Roman" w:cs="Times New Roman"/>
          <w:sz w:val="28"/>
          <w:szCs w:val="28"/>
        </w:rPr>
        <w:t>)</w:t>
      </w:r>
      <w:r w:rsidR="00215E2F" w:rsidRPr="009B2080">
        <w:rPr>
          <w:rFonts w:ascii="Times New Roman" w:hAnsi="Times New Roman" w:cs="Times New Roman"/>
          <w:sz w:val="28"/>
          <w:szCs w:val="28"/>
        </w:rPr>
        <w:t xml:space="preserve"> has convened several meetings. The aim is to build one common HR and strategic plan for IFRC.</w:t>
      </w:r>
      <w:r w:rsidR="00DE4AA5" w:rsidRPr="009B2080">
        <w:rPr>
          <w:rFonts w:ascii="Times New Roman" w:hAnsi="Times New Roman" w:cs="Times New Roman"/>
          <w:sz w:val="28"/>
          <w:szCs w:val="28"/>
        </w:rPr>
        <w:t xml:space="preserve"> </w:t>
      </w:r>
      <w:r w:rsidR="00215E2F" w:rsidRPr="009B2080">
        <w:rPr>
          <w:rFonts w:ascii="Times New Roman" w:hAnsi="Times New Roman" w:cs="Times New Roman"/>
          <w:sz w:val="28"/>
          <w:szCs w:val="28"/>
        </w:rPr>
        <w:t xml:space="preserve">Similar discussions regarding the </w:t>
      </w:r>
      <w:r w:rsidR="00DE4AA5" w:rsidRPr="009B2080">
        <w:rPr>
          <w:rFonts w:ascii="Times New Roman" w:hAnsi="Times New Roman" w:cs="Times New Roman"/>
          <w:sz w:val="28"/>
          <w:szCs w:val="28"/>
        </w:rPr>
        <w:t xml:space="preserve">strengthening </w:t>
      </w:r>
      <w:r w:rsidR="00AA43C2" w:rsidRPr="009B2080">
        <w:rPr>
          <w:rFonts w:ascii="Times New Roman" w:hAnsi="Times New Roman" w:cs="Times New Roman"/>
          <w:sz w:val="28"/>
          <w:szCs w:val="28"/>
        </w:rPr>
        <w:t>Southern Africa partnership of Red Cross Societies (</w:t>
      </w:r>
      <w:r w:rsidR="00DE4AA5" w:rsidRPr="009B2080">
        <w:rPr>
          <w:rFonts w:ascii="Times New Roman" w:hAnsi="Times New Roman" w:cs="Times New Roman"/>
          <w:sz w:val="28"/>
          <w:szCs w:val="28"/>
        </w:rPr>
        <w:t>SAPRCS</w:t>
      </w:r>
      <w:r w:rsidR="00AA43C2" w:rsidRPr="009B2080">
        <w:rPr>
          <w:rFonts w:ascii="Times New Roman" w:hAnsi="Times New Roman" w:cs="Times New Roman"/>
          <w:sz w:val="28"/>
          <w:szCs w:val="28"/>
        </w:rPr>
        <w:t>)</w:t>
      </w:r>
      <w:r w:rsidR="00DE4AA5" w:rsidRPr="009B2080">
        <w:rPr>
          <w:rFonts w:ascii="Times New Roman" w:hAnsi="Times New Roman" w:cs="Times New Roman"/>
          <w:sz w:val="28"/>
          <w:szCs w:val="28"/>
        </w:rPr>
        <w:t xml:space="preserve"> </w:t>
      </w:r>
      <w:r w:rsidR="00B92B47" w:rsidRPr="009B2080">
        <w:rPr>
          <w:rFonts w:ascii="Times New Roman" w:hAnsi="Times New Roman" w:cs="Times New Roman"/>
          <w:sz w:val="28"/>
          <w:szCs w:val="28"/>
        </w:rPr>
        <w:t>subcommittee</w:t>
      </w:r>
      <w:r w:rsidR="00DE4AA5" w:rsidRPr="009B2080">
        <w:rPr>
          <w:rFonts w:ascii="Times New Roman" w:hAnsi="Times New Roman" w:cs="Times New Roman"/>
          <w:sz w:val="28"/>
          <w:szCs w:val="28"/>
        </w:rPr>
        <w:t xml:space="preserve"> on Disaster Management is being held</w:t>
      </w:r>
      <w:r w:rsidR="00C93E67" w:rsidRPr="009B2080">
        <w:rPr>
          <w:rFonts w:ascii="Times New Roman" w:hAnsi="Times New Roman" w:cs="Times New Roman"/>
          <w:sz w:val="28"/>
          <w:szCs w:val="28"/>
        </w:rPr>
        <w:t>.</w:t>
      </w:r>
      <w:r w:rsidR="00215E2F" w:rsidRPr="009B2080">
        <w:rPr>
          <w:rFonts w:ascii="Times New Roman" w:hAnsi="Times New Roman" w:cs="Times New Roman"/>
          <w:sz w:val="28"/>
          <w:szCs w:val="28"/>
        </w:rPr>
        <w:t xml:space="preserve"> Moreover, efforts have been made in expanding roster for surge capacity through RDRT</w:t>
      </w:r>
      <w:r w:rsidR="00B2339F" w:rsidRPr="009B2080">
        <w:rPr>
          <w:rFonts w:ascii="Times New Roman" w:hAnsi="Times New Roman" w:cs="Times New Roman"/>
          <w:sz w:val="28"/>
          <w:szCs w:val="28"/>
        </w:rPr>
        <w:t xml:space="preserve"> (Regional Disaster Response </w:t>
      </w:r>
      <w:r w:rsidR="00DD6BCB" w:rsidRPr="009B2080">
        <w:rPr>
          <w:rFonts w:ascii="Times New Roman" w:hAnsi="Times New Roman" w:cs="Times New Roman"/>
          <w:sz w:val="28"/>
          <w:szCs w:val="28"/>
        </w:rPr>
        <w:t>Team) training</w:t>
      </w:r>
      <w:r w:rsidR="00215E2F" w:rsidRPr="009B2080">
        <w:rPr>
          <w:rFonts w:ascii="Times New Roman" w:hAnsi="Times New Roman" w:cs="Times New Roman"/>
          <w:sz w:val="28"/>
          <w:szCs w:val="28"/>
        </w:rPr>
        <w:t xml:space="preserve"> and monitoring around logistics, disaster management and communications. </w:t>
      </w:r>
      <w:r w:rsidR="00B92B47" w:rsidRPr="009B2080">
        <w:rPr>
          <w:rFonts w:ascii="Times New Roman" w:hAnsi="Times New Roman" w:cs="Times New Roman"/>
          <w:sz w:val="28"/>
          <w:szCs w:val="28"/>
        </w:rPr>
        <w:t>Two</w:t>
      </w:r>
      <w:r w:rsidR="00215E2F" w:rsidRPr="009B2080">
        <w:rPr>
          <w:rFonts w:ascii="Times New Roman" w:hAnsi="Times New Roman" w:cs="Times New Roman"/>
          <w:sz w:val="28"/>
          <w:szCs w:val="28"/>
        </w:rPr>
        <w:t xml:space="preserve"> RDRT training</w:t>
      </w:r>
      <w:r w:rsidR="00B92B47" w:rsidRPr="009B2080">
        <w:rPr>
          <w:rFonts w:ascii="Times New Roman" w:hAnsi="Times New Roman" w:cs="Times New Roman"/>
          <w:sz w:val="28"/>
          <w:szCs w:val="28"/>
        </w:rPr>
        <w:t xml:space="preserve"> workshops </w:t>
      </w:r>
      <w:r w:rsidR="00215E2F" w:rsidRPr="009B2080">
        <w:rPr>
          <w:rFonts w:ascii="Times New Roman" w:hAnsi="Times New Roman" w:cs="Times New Roman"/>
          <w:sz w:val="28"/>
          <w:szCs w:val="28"/>
        </w:rPr>
        <w:t>were conducted in 2017 on shelter and CEA</w:t>
      </w:r>
      <w:r w:rsidR="0075490F" w:rsidRPr="009B2080">
        <w:rPr>
          <w:rFonts w:ascii="Times New Roman" w:hAnsi="Times New Roman" w:cs="Times New Roman"/>
          <w:sz w:val="28"/>
          <w:szCs w:val="28"/>
        </w:rPr>
        <w:t xml:space="preserve"> (Community Engagement and </w:t>
      </w:r>
      <w:r w:rsidR="00B92B47" w:rsidRPr="009B2080">
        <w:rPr>
          <w:rFonts w:ascii="Times New Roman" w:hAnsi="Times New Roman" w:cs="Times New Roman"/>
          <w:sz w:val="28"/>
          <w:szCs w:val="28"/>
        </w:rPr>
        <w:t>Accountability</w:t>
      </w:r>
      <w:r w:rsidR="0075490F" w:rsidRPr="009B2080">
        <w:rPr>
          <w:rFonts w:ascii="Times New Roman" w:hAnsi="Times New Roman" w:cs="Times New Roman"/>
          <w:sz w:val="28"/>
          <w:szCs w:val="28"/>
        </w:rPr>
        <w:t>)</w:t>
      </w:r>
      <w:r w:rsidR="00215E2F" w:rsidRPr="009B2080">
        <w:rPr>
          <w:rFonts w:ascii="Times New Roman" w:hAnsi="Times New Roman" w:cs="Times New Roman"/>
          <w:sz w:val="28"/>
          <w:szCs w:val="28"/>
        </w:rPr>
        <w:t xml:space="preserve">. Logistics RDRT training planned in 2017 delayed to Q1 2018. </w:t>
      </w:r>
    </w:p>
    <w:p w14:paraId="5E77FC8F" w14:textId="77777777" w:rsidR="00215E2F" w:rsidRPr="009B2080" w:rsidRDefault="00215E2F" w:rsidP="009B2080">
      <w:pPr>
        <w:shd w:val="clear" w:color="auto" w:fill="FFFFFF" w:themeFill="background1"/>
        <w:spacing w:after="0" w:line="240" w:lineRule="auto"/>
        <w:jc w:val="both"/>
        <w:rPr>
          <w:rFonts w:ascii="Times New Roman" w:hAnsi="Times New Roman" w:cs="Times New Roman"/>
          <w:sz w:val="28"/>
          <w:szCs w:val="28"/>
        </w:rPr>
      </w:pPr>
    </w:p>
    <w:p w14:paraId="3C20D91C" w14:textId="0BA7EB68" w:rsidR="00215E2F" w:rsidRPr="009B2080" w:rsidRDefault="00215E2F" w:rsidP="009B2080">
      <w:p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Timely and coordinated response to emergencies is of essence to IFRC and most critical. As a result, cluster operations unit has established a network of DM </w:t>
      </w:r>
      <w:r w:rsidR="0075490F" w:rsidRPr="009B2080">
        <w:rPr>
          <w:rFonts w:ascii="Times New Roman" w:hAnsi="Times New Roman" w:cs="Times New Roman"/>
          <w:sz w:val="28"/>
          <w:szCs w:val="28"/>
        </w:rPr>
        <w:t xml:space="preserve">(Disaster Management) </w:t>
      </w:r>
      <w:r w:rsidRPr="009B2080">
        <w:rPr>
          <w:rFonts w:ascii="Times New Roman" w:hAnsi="Times New Roman" w:cs="Times New Roman"/>
          <w:sz w:val="28"/>
          <w:szCs w:val="28"/>
        </w:rPr>
        <w:t>practi</w:t>
      </w:r>
      <w:r w:rsidR="0075490F" w:rsidRPr="009B2080">
        <w:rPr>
          <w:rFonts w:ascii="Times New Roman" w:hAnsi="Times New Roman" w:cs="Times New Roman"/>
          <w:sz w:val="28"/>
          <w:szCs w:val="28"/>
        </w:rPr>
        <w:t>ti</w:t>
      </w:r>
      <w:r w:rsidRPr="009B2080">
        <w:rPr>
          <w:rFonts w:ascii="Times New Roman" w:hAnsi="Times New Roman" w:cs="Times New Roman"/>
          <w:sz w:val="28"/>
          <w:szCs w:val="28"/>
        </w:rPr>
        <w:t>oners for learning and sharing of best practices to ensure coordination in preparing and responding to emergencies. The annual meeting was conducted in July 2017.</w:t>
      </w:r>
      <w:r w:rsidR="00952E3B" w:rsidRPr="009B2080">
        <w:rPr>
          <w:rFonts w:ascii="Times New Roman" w:hAnsi="Times New Roman" w:cs="Times New Roman"/>
          <w:sz w:val="28"/>
          <w:szCs w:val="28"/>
        </w:rPr>
        <w:t xml:space="preserve"> South Sudan is an example where we have the movement coordination plan. This has been carried out regularly in a very successful way for the emergencies in the cluster. It includes Kenya, Ethiopia, Uganda, Madagascar, and to some extent Tanzania.</w:t>
      </w:r>
    </w:p>
    <w:p w14:paraId="3DB0D275" w14:textId="02B8117D" w:rsidR="00DE4AA5" w:rsidRPr="009B2080" w:rsidRDefault="00C93E67" w:rsidP="009B2080">
      <w:pPr>
        <w:jc w:val="both"/>
        <w:rPr>
          <w:rFonts w:ascii="Times New Roman" w:hAnsi="Times New Roman" w:cs="Times New Roman"/>
          <w:sz w:val="28"/>
          <w:szCs w:val="28"/>
        </w:rPr>
      </w:pPr>
      <w:r w:rsidRPr="009B2080">
        <w:rPr>
          <w:rFonts w:ascii="Times New Roman" w:hAnsi="Times New Roman" w:cs="Times New Roman"/>
          <w:sz w:val="28"/>
          <w:szCs w:val="28"/>
        </w:rPr>
        <w:br/>
      </w:r>
      <w:r w:rsidR="00DE4AA5" w:rsidRPr="009B2080">
        <w:rPr>
          <w:rFonts w:ascii="Times New Roman" w:hAnsi="Times New Roman" w:cs="Times New Roman"/>
          <w:sz w:val="28"/>
          <w:szCs w:val="28"/>
        </w:rPr>
        <w:t>In order to establish appropriate coordination platforms of all components of the movement in preparing for and responding to emergencies, the S</w:t>
      </w:r>
      <w:r w:rsidR="00CE595B" w:rsidRPr="009B2080">
        <w:rPr>
          <w:rFonts w:ascii="Times New Roman" w:hAnsi="Times New Roman" w:cs="Times New Roman"/>
          <w:sz w:val="28"/>
          <w:szCs w:val="28"/>
        </w:rPr>
        <w:t>outhern African Cluster</w:t>
      </w:r>
      <w:r w:rsidR="00DE4AA5" w:rsidRPr="009B2080">
        <w:rPr>
          <w:rFonts w:ascii="Times New Roman" w:hAnsi="Times New Roman" w:cs="Times New Roman"/>
          <w:sz w:val="28"/>
          <w:szCs w:val="28"/>
        </w:rPr>
        <w:t xml:space="preserve"> held </w:t>
      </w:r>
      <w:r w:rsidR="00DD6BCB" w:rsidRPr="009B2080">
        <w:rPr>
          <w:rFonts w:ascii="Times New Roman" w:hAnsi="Times New Roman" w:cs="Times New Roman"/>
          <w:sz w:val="28"/>
          <w:szCs w:val="28"/>
        </w:rPr>
        <w:t>a lesson</w:t>
      </w:r>
      <w:r w:rsidR="00DE4AA5" w:rsidRPr="009B2080">
        <w:rPr>
          <w:rFonts w:ascii="Times New Roman" w:hAnsi="Times New Roman" w:cs="Times New Roman"/>
          <w:sz w:val="28"/>
          <w:szCs w:val="28"/>
        </w:rPr>
        <w:t xml:space="preserve"> learnt workshop </w:t>
      </w:r>
      <w:r w:rsidR="00794099" w:rsidRPr="009B2080">
        <w:rPr>
          <w:rFonts w:ascii="Times New Roman" w:hAnsi="Times New Roman" w:cs="Times New Roman"/>
          <w:sz w:val="28"/>
          <w:szCs w:val="28"/>
        </w:rPr>
        <w:t>with nine</w:t>
      </w:r>
      <w:r w:rsidR="00DE4AA5" w:rsidRPr="009B2080">
        <w:rPr>
          <w:rFonts w:ascii="Times New Roman" w:hAnsi="Times New Roman" w:cs="Times New Roman"/>
          <w:sz w:val="28"/>
          <w:szCs w:val="28"/>
        </w:rPr>
        <w:t xml:space="preserve"> NS</w:t>
      </w:r>
      <w:r w:rsidR="00794099" w:rsidRPr="009B2080">
        <w:rPr>
          <w:rFonts w:ascii="Times New Roman" w:hAnsi="Times New Roman" w:cs="Times New Roman"/>
          <w:sz w:val="28"/>
          <w:szCs w:val="28"/>
        </w:rPr>
        <w:t>s</w:t>
      </w:r>
      <w:r w:rsidR="00DE4AA5" w:rsidRPr="009B2080">
        <w:rPr>
          <w:rFonts w:ascii="Times New Roman" w:hAnsi="Times New Roman" w:cs="Times New Roman"/>
          <w:sz w:val="28"/>
          <w:szCs w:val="28"/>
        </w:rPr>
        <w:t xml:space="preserve">, the ICRC </w:t>
      </w:r>
      <w:r w:rsidRPr="009B2080">
        <w:rPr>
          <w:rFonts w:ascii="Times New Roman" w:hAnsi="Times New Roman" w:cs="Times New Roman"/>
          <w:sz w:val="28"/>
          <w:szCs w:val="28"/>
        </w:rPr>
        <w:t>and, PNSs</w:t>
      </w:r>
      <w:r w:rsidR="00DE4AA5" w:rsidRPr="009B2080">
        <w:rPr>
          <w:rFonts w:ascii="Times New Roman" w:hAnsi="Times New Roman" w:cs="Times New Roman"/>
          <w:sz w:val="28"/>
          <w:szCs w:val="28"/>
        </w:rPr>
        <w:t xml:space="preserve"> and a representative from Ethiopia RC. The Lessons learnt was informed by the Evaluation of the </w:t>
      </w:r>
      <w:r w:rsidR="00794099" w:rsidRPr="009B2080">
        <w:rPr>
          <w:rFonts w:ascii="Times New Roman" w:hAnsi="Times New Roman" w:cs="Times New Roman"/>
          <w:sz w:val="28"/>
          <w:szCs w:val="28"/>
        </w:rPr>
        <w:t>four</w:t>
      </w:r>
      <w:r w:rsidR="00DE4AA5" w:rsidRPr="009B2080">
        <w:rPr>
          <w:rFonts w:ascii="Times New Roman" w:hAnsi="Times New Roman" w:cs="Times New Roman"/>
          <w:sz w:val="28"/>
          <w:szCs w:val="28"/>
        </w:rPr>
        <w:t xml:space="preserve"> Appeals in the region and provided a platform to exchange experiences and provide recommendations for better response in the future. </w:t>
      </w:r>
    </w:p>
    <w:p w14:paraId="533456B6" w14:textId="77777777" w:rsidR="00952E3B" w:rsidRPr="009B2080" w:rsidRDefault="00952E3B" w:rsidP="009B2080">
      <w:pPr>
        <w:shd w:val="clear" w:color="auto" w:fill="FFFFFF" w:themeFill="background1"/>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Corrective Action:</w:t>
      </w:r>
    </w:p>
    <w:p w14:paraId="19EF6CF2" w14:textId="77777777" w:rsidR="00952E3B" w:rsidRPr="009B2080" w:rsidRDefault="00952E3B" w:rsidP="009B2080">
      <w:pPr>
        <w:shd w:val="clear" w:color="auto" w:fill="FFFFFF" w:themeFill="background1"/>
        <w:spacing w:after="0" w:line="240" w:lineRule="auto"/>
        <w:jc w:val="both"/>
        <w:rPr>
          <w:rFonts w:ascii="Times New Roman" w:hAnsi="Times New Roman" w:cs="Times New Roman"/>
          <w:sz w:val="28"/>
          <w:szCs w:val="28"/>
        </w:rPr>
      </w:pPr>
    </w:p>
    <w:p w14:paraId="113337D0" w14:textId="4185878C" w:rsidR="00952E3B" w:rsidRPr="009B2080" w:rsidRDefault="00952E3B" w:rsidP="009B2080">
      <w:pPr>
        <w:pStyle w:val="ListParagraph"/>
        <w:numPr>
          <w:ilvl w:val="0"/>
          <w:numId w:val="4"/>
        </w:num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w:t>
      </w:r>
      <w:r w:rsidR="007F00E7" w:rsidRPr="009B2080">
        <w:rPr>
          <w:rFonts w:ascii="Times New Roman" w:hAnsi="Times New Roman" w:cs="Times New Roman"/>
          <w:sz w:val="28"/>
          <w:szCs w:val="28"/>
        </w:rPr>
        <w:t xml:space="preserve">a </w:t>
      </w:r>
      <w:r w:rsidRPr="009B2080">
        <w:rPr>
          <w:rFonts w:ascii="Times New Roman" w:hAnsi="Times New Roman" w:cs="Times New Roman"/>
          <w:sz w:val="28"/>
          <w:szCs w:val="28"/>
        </w:rPr>
        <w:t xml:space="preserve">need to ensure that the group frequently meets and work towards the set </w:t>
      </w:r>
      <w:r w:rsidR="00EC03D9" w:rsidRPr="009B2080">
        <w:rPr>
          <w:rFonts w:ascii="Times New Roman" w:hAnsi="Times New Roman" w:cs="Times New Roman"/>
          <w:sz w:val="28"/>
          <w:szCs w:val="28"/>
        </w:rPr>
        <w:t>Terms of Reference</w:t>
      </w:r>
      <w:r w:rsidRPr="009B2080">
        <w:rPr>
          <w:rFonts w:ascii="Times New Roman" w:hAnsi="Times New Roman" w:cs="Times New Roman"/>
          <w:sz w:val="28"/>
          <w:szCs w:val="28"/>
        </w:rPr>
        <w:t xml:space="preserve"> so that it can have a better impact on the system</w:t>
      </w:r>
    </w:p>
    <w:p w14:paraId="59CF21F0" w14:textId="03C17F6A" w:rsidR="00D01A32" w:rsidRPr="009B2080" w:rsidRDefault="00D01A32" w:rsidP="009B2080">
      <w:pPr>
        <w:pStyle w:val="ListParagraph"/>
        <w:numPr>
          <w:ilvl w:val="0"/>
          <w:numId w:val="4"/>
        </w:num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Need to vet those trained</w:t>
      </w:r>
      <w:r w:rsidR="00EC03D9" w:rsidRPr="009B2080">
        <w:rPr>
          <w:rFonts w:ascii="Times New Roman" w:hAnsi="Times New Roman" w:cs="Times New Roman"/>
          <w:sz w:val="28"/>
          <w:szCs w:val="28"/>
        </w:rPr>
        <w:t xml:space="preserve">, with </w:t>
      </w:r>
      <w:r w:rsidRPr="009B2080">
        <w:rPr>
          <w:rFonts w:ascii="Times New Roman" w:hAnsi="Times New Roman" w:cs="Times New Roman"/>
          <w:sz w:val="28"/>
          <w:szCs w:val="28"/>
        </w:rPr>
        <w:t>more conditions and higher commitments from NS to deploy</w:t>
      </w:r>
    </w:p>
    <w:p w14:paraId="4A60221C" w14:textId="3141BF6E" w:rsidR="003F0239" w:rsidRPr="009B2080" w:rsidRDefault="00D01A32" w:rsidP="009B2080">
      <w:pPr>
        <w:pStyle w:val="ListParagraph"/>
        <w:numPr>
          <w:ilvl w:val="0"/>
          <w:numId w:val="4"/>
        </w:numPr>
        <w:shd w:val="clear" w:color="auto" w:fill="FFFFFF" w:themeFill="background1"/>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Financial resources allocation should consider sector relevance and the Africa wide geographical challenges. </w:t>
      </w:r>
    </w:p>
    <w:p w14:paraId="4259A219" w14:textId="3DAE3577" w:rsidR="00EC03D9" w:rsidRPr="009B2080" w:rsidRDefault="00EC03D9" w:rsidP="009B2080">
      <w:pPr>
        <w:shd w:val="clear" w:color="auto" w:fill="FFFFFF" w:themeFill="background1"/>
        <w:spacing w:after="0" w:line="240" w:lineRule="auto"/>
        <w:jc w:val="both"/>
        <w:rPr>
          <w:rFonts w:ascii="Times New Roman" w:hAnsi="Times New Roman" w:cs="Times New Roman"/>
          <w:sz w:val="28"/>
          <w:szCs w:val="28"/>
        </w:rPr>
      </w:pPr>
    </w:p>
    <w:p w14:paraId="7A433B7F" w14:textId="6D9F8A6B" w:rsidR="00C93E67" w:rsidRPr="009B2080" w:rsidRDefault="00C93E67" w:rsidP="009B2080">
      <w:pPr>
        <w:shd w:val="clear" w:color="auto" w:fill="FFFFFF" w:themeFill="background1"/>
        <w:spacing w:after="0" w:line="240" w:lineRule="auto"/>
        <w:jc w:val="both"/>
        <w:rPr>
          <w:rFonts w:ascii="Times New Roman" w:hAnsi="Times New Roman" w:cs="Times New Roman"/>
          <w:sz w:val="28"/>
          <w:szCs w:val="28"/>
        </w:rPr>
      </w:pPr>
    </w:p>
    <w:p w14:paraId="1C8E1D70" w14:textId="77777777" w:rsidR="00C93E67" w:rsidRPr="009B2080" w:rsidRDefault="00C93E67" w:rsidP="009B2080">
      <w:pPr>
        <w:shd w:val="clear" w:color="auto" w:fill="FFFFFF" w:themeFill="background1"/>
        <w:spacing w:after="0" w:line="240" w:lineRule="auto"/>
        <w:jc w:val="both"/>
        <w:rPr>
          <w:rFonts w:ascii="Times New Roman" w:hAnsi="Times New Roman" w:cs="Times New Roman"/>
          <w:sz w:val="28"/>
          <w:szCs w:val="28"/>
        </w:rPr>
      </w:pPr>
    </w:p>
    <w:p w14:paraId="65096436" w14:textId="77777777" w:rsidR="00C16DBF" w:rsidRPr="009B2080" w:rsidRDefault="00C16DBF" w:rsidP="009B2080">
      <w:pPr>
        <w:shd w:val="clear" w:color="auto" w:fill="FFFFFF" w:themeFill="background1"/>
        <w:spacing w:after="0" w:line="240" w:lineRule="auto"/>
        <w:jc w:val="both"/>
        <w:rPr>
          <w:rFonts w:ascii="Times New Roman" w:hAnsi="Times New Roman" w:cs="Times New Roman"/>
          <w:sz w:val="28"/>
          <w:szCs w:val="28"/>
        </w:rPr>
      </w:pPr>
    </w:p>
    <w:p w14:paraId="345655DE" w14:textId="41315B72" w:rsidR="008C1BB5" w:rsidRPr="009B2080" w:rsidRDefault="00291A88"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t xml:space="preserve">SFI 3: A LEADING STRATEGIC PARTNER IN HUMANITARIAN ACTION </w:t>
      </w:r>
      <w:r w:rsidR="00A869F0" w:rsidRPr="009B2080">
        <w:rPr>
          <w:rFonts w:ascii="Times New Roman" w:hAnsi="Times New Roman" w:cs="Times New Roman"/>
          <w:b/>
          <w:sz w:val="28"/>
          <w:szCs w:val="28"/>
        </w:rPr>
        <w:t xml:space="preserve">AND </w:t>
      </w:r>
      <w:r w:rsidRPr="009B2080">
        <w:rPr>
          <w:rFonts w:ascii="Times New Roman" w:hAnsi="Times New Roman" w:cs="Times New Roman"/>
          <w:b/>
          <w:sz w:val="28"/>
          <w:szCs w:val="28"/>
        </w:rPr>
        <w:t>COMMUNITY RESILIENCE</w:t>
      </w:r>
    </w:p>
    <w:p w14:paraId="6F28EEDA" w14:textId="77777777" w:rsidR="00952E3B" w:rsidRPr="009B2080" w:rsidRDefault="00952E3B" w:rsidP="009B2080">
      <w:pPr>
        <w:spacing w:after="0" w:line="240" w:lineRule="auto"/>
        <w:jc w:val="both"/>
        <w:rPr>
          <w:rFonts w:ascii="Times New Roman" w:hAnsi="Times New Roman" w:cs="Times New Roman"/>
          <w:b/>
          <w:sz w:val="28"/>
          <w:szCs w:val="28"/>
        </w:rPr>
      </w:pPr>
    </w:p>
    <w:p w14:paraId="10600CCC" w14:textId="2FE0BABF" w:rsidR="00D01A32" w:rsidRPr="009B2080" w:rsidRDefault="007963D3"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SFI 3 has been </w:t>
      </w:r>
      <w:r w:rsidR="00E42EFF" w:rsidRPr="009B2080">
        <w:rPr>
          <w:rFonts w:ascii="Times New Roman" w:hAnsi="Times New Roman" w:cs="Times New Roman"/>
          <w:sz w:val="28"/>
          <w:szCs w:val="28"/>
        </w:rPr>
        <w:t xml:space="preserve">rated 2.9 out of 5 and ranked yellow. </w:t>
      </w:r>
      <w:r w:rsidR="00BF50FA" w:rsidRPr="009B2080">
        <w:rPr>
          <w:rFonts w:ascii="Times New Roman" w:hAnsi="Times New Roman" w:cs="Times New Roman"/>
          <w:sz w:val="28"/>
          <w:szCs w:val="28"/>
        </w:rPr>
        <w:t xml:space="preserve"> </w:t>
      </w:r>
      <w:r w:rsidR="00D01A32" w:rsidRPr="009B2080">
        <w:rPr>
          <w:rFonts w:ascii="Times New Roman" w:hAnsi="Times New Roman" w:cs="Times New Roman"/>
          <w:sz w:val="28"/>
          <w:szCs w:val="28"/>
        </w:rPr>
        <w:t xml:space="preserve">IFRC has provided support to in developing new partnerships and fund-raising networks for national societies. For instance, Zimbabwe actively engaged in skill share and received </w:t>
      </w:r>
      <w:r w:rsidR="00A869F0" w:rsidRPr="009B2080">
        <w:rPr>
          <w:rFonts w:ascii="Times New Roman" w:hAnsi="Times New Roman" w:cs="Times New Roman"/>
          <w:sz w:val="28"/>
          <w:szCs w:val="28"/>
        </w:rPr>
        <w:t xml:space="preserve">an </w:t>
      </w:r>
      <w:r w:rsidR="00D01A32" w:rsidRPr="009B2080">
        <w:rPr>
          <w:rFonts w:ascii="Times New Roman" w:hAnsi="Times New Roman" w:cs="Times New Roman"/>
          <w:sz w:val="28"/>
          <w:szCs w:val="28"/>
        </w:rPr>
        <w:t>award for fund raising, peer to peer support between Lesotho and Botswana.</w:t>
      </w:r>
      <w:r w:rsidR="00F10438" w:rsidRPr="009B2080">
        <w:rPr>
          <w:rFonts w:ascii="Times New Roman" w:hAnsi="Times New Roman" w:cs="Times New Roman"/>
          <w:sz w:val="28"/>
          <w:szCs w:val="28"/>
        </w:rPr>
        <w:t xml:space="preserve"> A number of new partnership</w:t>
      </w:r>
      <w:r w:rsidR="00CC65E7" w:rsidRPr="009B2080">
        <w:rPr>
          <w:rFonts w:ascii="Times New Roman" w:hAnsi="Times New Roman" w:cs="Times New Roman"/>
          <w:sz w:val="28"/>
          <w:szCs w:val="28"/>
        </w:rPr>
        <w:t>s</w:t>
      </w:r>
      <w:r w:rsidR="00F10438" w:rsidRPr="009B2080">
        <w:rPr>
          <w:rFonts w:ascii="Times New Roman" w:hAnsi="Times New Roman" w:cs="Times New Roman"/>
          <w:sz w:val="28"/>
          <w:szCs w:val="28"/>
        </w:rPr>
        <w:t xml:space="preserve"> ha</w:t>
      </w:r>
      <w:r w:rsidR="00CC65E7" w:rsidRPr="009B2080">
        <w:rPr>
          <w:rFonts w:ascii="Times New Roman" w:hAnsi="Times New Roman" w:cs="Times New Roman"/>
          <w:sz w:val="28"/>
          <w:szCs w:val="28"/>
        </w:rPr>
        <w:t>ve</w:t>
      </w:r>
      <w:r w:rsidR="00F10438" w:rsidRPr="009B2080">
        <w:rPr>
          <w:rFonts w:ascii="Times New Roman" w:hAnsi="Times New Roman" w:cs="Times New Roman"/>
          <w:sz w:val="28"/>
          <w:szCs w:val="28"/>
        </w:rPr>
        <w:t xml:space="preserve"> been developed</w:t>
      </w:r>
      <w:r w:rsidR="007307EF" w:rsidRPr="009B2080">
        <w:rPr>
          <w:rFonts w:ascii="Times New Roman" w:hAnsi="Times New Roman" w:cs="Times New Roman"/>
          <w:sz w:val="28"/>
          <w:szCs w:val="28"/>
        </w:rPr>
        <w:t xml:space="preserve">. For instance, in Ghana and </w:t>
      </w:r>
      <w:r w:rsidR="00CC65E7" w:rsidRPr="009B2080">
        <w:rPr>
          <w:rFonts w:ascii="Times New Roman" w:hAnsi="Times New Roman" w:cs="Times New Roman"/>
          <w:sz w:val="28"/>
          <w:szCs w:val="28"/>
        </w:rPr>
        <w:t>Côte d’Ivoire</w:t>
      </w:r>
      <w:r w:rsidR="007307EF" w:rsidRPr="009B2080">
        <w:rPr>
          <w:rFonts w:ascii="Times New Roman" w:hAnsi="Times New Roman" w:cs="Times New Roman"/>
          <w:sz w:val="28"/>
          <w:szCs w:val="28"/>
        </w:rPr>
        <w:t>, partnership with Nestl</w:t>
      </w:r>
      <w:r w:rsidR="00CC65E7" w:rsidRPr="009B2080">
        <w:rPr>
          <w:rFonts w:ascii="Times New Roman" w:hAnsi="Times New Roman" w:cs="Times New Roman"/>
          <w:sz w:val="28"/>
          <w:szCs w:val="28"/>
        </w:rPr>
        <w:t>é</w:t>
      </w:r>
      <w:r w:rsidR="007307EF" w:rsidRPr="009B2080">
        <w:rPr>
          <w:rFonts w:ascii="Times New Roman" w:hAnsi="Times New Roman" w:cs="Times New Roman"/>
          <w:sz w:val="28"/>
          <w:szCs w:val="28"/>
        </w:rPr>
        <w:t xml:space="preserve"> also emphasize</w:t>
      </w:r>
      <w:r w:rsidR="00CC65E7" w:rsidRPr="009B2080">
        <w:rPr>
          <w:rFonts w:ascii="Times New Roman" w:hAnsi="Times New Roman" w:cs="Times New Roman"/>
          <w:sz w:val="28"/>
          <w:szCs w:val="28"/>
        </w:rPr>
        <w:t>s</w:t>
      </w:r>
      <w:r w:rsidR="007307EF" w:rsidRPr="009B2080">
        <w:rPr>
          <w:rFonts w:ascii="Times New Roman" w:hAnsi="Times New Roman" w:cs="Times New Roman"/>
          <w:sz w:val="28"/>
          <w:szCs w:val="28"/>
        </w:rPr>
        <w:t xml:space="preserve"> </w:t>
      </w:r>
      <w:r w:rsidR="00CC65E7" w:rsidRPr="009B2080">
        <w:rPr>
          <w:rFonts w:ascii="Times New Roman" w:hAnsi="Times New Roman" w:cs="Times New Roman"/>
          <w:sz w:val="28"/>
          <w:szCs w:val="28"/>
        </w:rPr>
        <w:t xml:space="preserve">the need for a </w:t>
      </w:r>
      <w:r w:rsidR="007307EF" w:rsidRPr="009B2080">
        <w:rPr>
          <w:rFonts w:ascii="Times New Roman" w:hAnsi="Times New Roman" w:cs="Times New Roman"/>
          <w:sz w:val="28"/>
          <w:szCs w:val="28"/>
        </w:rPr>
        <w:t xml:space="preserve">multi-sectoral approach with the purpose of building community resilience. In </w:t>
      </w:r>
      <w:r w:rsidR="00A869F0" w:rsidRPr="009B2080">
        <w:rPr>
          <w:rFonts w:ascii="Times New Roman" w:hAnsi="Times New Roman" w:cs="Times New Roman"/>
          <w:sz w:val="28"/>
          <w:szCs w:val="28"/>
        </w:rPr>
        <w:t>Côte d’Ivoire</w:t>
      </w:r>
      <w:r w:rsidR="007307EF" w:rsidRPr="009B2080">
        <w:rPr>
          <w:rFonts w:ascii="Times New Roman" w:hAnsi="Times New Roman" w:cs="Times New Roman"/>
          <w:sz w:val="28"/>
          <w:szCs w:val="28"/>
        </w:rPr>
        <w:t xml:space="preserve">, the project is completed successfully after </w:t>
      </w:r>
      <w:r w:rsidR="00A869F0" w:rsidRPr="009B2080">
        <w:rPr>
          <w:rFonts w:ascii="Times New Roman" w:hAnsi="Times New Roman" w:cs="Times New Roman"/>
          <w:sz w:val="28"/>
          <w:szCs w:val="28"/>
        </w:rPr>
        <w:t xml:space="preserve">ten </w:t>
      </w:r>
      <w:r w:rsidR="007307EF" w:rsidRPr="009B2080">
        <w:rPr>
          <w:rFonts w:ascii="Times New Roman" w:hAnsi="Times New Roman" w:cs="Times New Roman"/>
          <w:sz w:val="28"/>
          <w:szCs w:val="28"/>
        </w:rPr>
        <w:t xml:space="preserve">years of active implementation. In Ghana, implementation will continue until mid-2018. In 2018, a </w:t>
      </w:r>
      <w:r w:rsidR="00A869F0" w:rsidRPr="009B2080">
        <w:rPr>
          <w:rFonts w:ascii="Times New Roman" w:hAnsi="Times New Roman" w:cs="Times New Roman"/>
          <w:sz w:val="28"/>
          <w:szCs w:val="28"/>
        </w:rPr>
        <w:t>five-</w:t>
      </w:r>
      <w:r w:rsidR="007307EF" w:rsidRPr="009B2080">
        <w:rPr>
          <w:rFonts w:ascii="Times New Roman" w:hAnsi="Times New Roman" w:cs="Times New Roman"/>
          <w:sz w:val="28"/>
          <w:szCs w:val="28"/>
        </w:rPr>
        <w:t xml:space="preserve">year new partnership will be negotiated with </w:t>
      </w:r>
      <w:r w:rsidR="00A869F0" w:rsidRPr="009B2080">
        <w:rPr>
          <w:rFonts w:ascii="Times New Roman" w:hAnsi="Times New Roman" w:cs="Times New Roman"/>
          <w:sz w:val="28"/>
          <w:szCs w:val="28"/>
        </w:rPr>
        <w:t>Nestlé</w:t>
      </w:r>
      <w:r w:rsidR="00A869F0" w:rsidRPr="009B2080" w:rsidDel="00A869F0">
        <w:rPr>
          <w:rFonts w:ascii="Times New Roman" w:hAnsi="Times New Roman" w:cs="Times New Roman"/>
          <w:sz w:val="28"/>
          <w:szCs w:val="28"/>
        </w:rPr>
        <w:t xml:space="preserve"> </w:t>
      </w:r>
      <w:r w:rsidR="007307EF" w:rsidRPr="009B2080">
        <w:rPr>
          <w:rFonts w:ascii="Times New Roman" w:hAnsi="Times New Roman" w:cs="Times New Roman"/>
          <w:sz w:val="28"/>
          <w:szCs w:val="28"/>
        </w:rPr>
        <w:t xml:space="preserve">and the plan is </w:t>
      </w:r>
      <w:r w:rsidR="007307EF" w:rsidRPr="009B2080">
        <w:rPr>
          <w:rFonts w:ascii="Times New Roman" w:hAnsi="Times New Roman" w:cs="Times New Roman"/>
          <w:sz w:val="28"/>
          <w:szCs w:val="28"/>
        </w:rPr>
        <w:lastRenderedPageBreak/>
        <w:t xml:space="preserve">to double our budget from current </w:t>
      </w:r>
      <w:r w:rsidR="00A869F0" w:rsidRPr="009B2080">
        <w:rPr>
          <w:rFonts w:ascii="Times New Roman" w:hAnsi="Times New Roman" w:cs="Times New Roman"/>
          <w:sz w:val="28"/>
          <w:szCs w:val="28"/>
        </w:rPr>
        <w:t xml:space="preserve">five </w:t>
      </w:r>
      <w:r w:rsidR="007307EF" w:rsidRPr="009B2080">
        <w:rPr>
          <w:rFonts w:ascii="Times New Roman" w:hAnsi="Times New Roman" w:cs="Times New Roman"/>
          <w:sz w:val="28"/>
          <w:szCs w:val="28"/>
        </w:rPr>
        <w:t xml:space="preserve">million </w:t>
      </w:r>
      <w:r w:rsidR="00A869F0" w:rsidRPr="009B2080">
        <w:rPr>
          <w:rFonts w:ascii="Times New Roman" w:hAnsi="Times New Roman" w:cs="Times New Roman"/>
          <w:sz w:val="28"/>
          <w:szCs w:val="28"/>
        </w:rPr>
        <w:t>Swiss francs</w:t>
      </w:r>
      <w:r w:rsidR="00CC65E7" w:rsidRPr="009B2080">
        <w:rPr>
          <w:rFonts w:ascii="Times New Roman" w:hAnsi="Times New Roman" w:cs="Times New Roman"/>
          <w:sz w:val="28"/>
          <w:szCs w:val="28"/>
        </w:rPr>
        <w:t>,</w:t>
      </w:r>
      <w:r w:rsidR="00A869F0" w:rsidRPr="009B2080">
        <w:rPr>
          <w:rFonts w:ascii="Times New Roman" w:hAnsi="Times New Roman" w:cs="Times New Roman"/>
          <w:sz w:val="28"/>
          <w:szCs w:val="28"/>
        </w:rPr>
        <w:t xml:space="preserve"> </w:t>
      </w:r>
      <w:r w:rsidR="007307EF" w:rsidRPr="009B2080">
        <w:rPr>
          <w:rFonts w:ascii="Times New Roman" w:hAnsi="Times New Roman" w:cs="Times New Roman"/>
          <w:sz w:val="28"/>
          <w:szCs w:val="28"/>
        </w:rPr>
        <w:t xml:space="preserve">to </w:t>
      </w:r>
      <w:r w:rsidR="00A869F0" w:rsidRPr="009B2080">
        <w:rPr>
          <w:rFonts w:ascii="Times New Roman" w:hAnsi="Times New Roman" w:cs="Times New Roman"/>
          <w:sz w:val="28"/>
          <w:szCs w:val="28"/>
        </w:rPr>
        <w:t xml:space="preserve">ten </w:t>
      </w:r>
      <w:r w:rsidR="007307EF" w:rsidRPr="009B2080">
        <w:rPr>
          <w:rFonts w:ascii="Times New Roman" w:hAnsi="Times New Roman" w:cs="Times New Roman"/>
          <w:sz w:val="28"/>
          <w:szCs w:val="28"/>
        </w:rPr>
        <w:t>million</w:t>
      </w:r>
      <w:r w:rsidR="00A869F0" w:rsidRPr="009B2080">
        <w:rPr>
          <w:rFonts w:ascii="Times New Roman" w:hAnsi="Times New Roman" w:cs="Times New Roman"/>
          <w:sz w:val="28"/>
          <w:szCs w:val="28"/>
        </w:rPr>
        <w:t xml:space="preserve"> Swiss francs.</w:t>
      </w:r>
    </w:p>
    <w:p w14:paraId="4FD79B4A" w14:textId="77777777" w:rsidR="00D01A32" w:rsidRPr="009B2080" w:rsidRDefault="00D01A32" w:rsidP="009B2080">
      <w:pPr>
        <w:spacing w:after="0" w:line="240" w:lineRule="auto"/>
        <w:jc w:val="both"/>
        <w:rPr>
          <w:rFonts w:ascii="Times New Roman" w:hAnsi="Times New Roman" w:cs="Times New Roman"/>
          <w:sz w:val="28"/>
          <w:szCs w:val="28"/>
        </w:rPr>
      </w:pPr>
    </w:p>
    <w:p w14:paraId="249C8C10" w14:textId="56F47A25" w:rsidR="00B26F6F" w:rsidRPr="009B2080" w:rsidRDefault="0012364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w:t>
      </w:r>
      <w:r w:rsidR="00CC65E7" w:rsidRPr="009B2080">
        <w:rPr>
          <w:rFonts w:ascii="Times New Roman" w:hAnsi="Times New Roman" w:cs="Times New Roman"/>
          <w:sz w:val="28"/>
          <w:szCs w:val="28"/>
        </w:rPr>
        <w:t>has</w:t>
      </w:r>
      <w:r w:rsidRPr="009B2080">
        <w:rPr>
          <w:rFonts w:ascii="Times New Roman" w:hAnsi="Times New Roman" w:cs="Times New Roman"/>
          <w:sz w:val="28"/>
          <w:szCs w:val="28"/>
        </w:rPr>
        <w:t xml:space="preserve"> been tremendous progress in leveraging technology e.g. digital </w:t>
      </w:r>
      <w:r w:rsidR="00A869F0" w:rsidRPr="009B2080">
        <w:rPr>
          <w:rFonts w:ascii="Times New Roman" w:hAnsi="Times New Roman" w:cs="Times New Roman"/>
          <w:sz w:val="28"/>
          <w:szCs w:val="28"/>
        </w:rPr>
        <w:t xml:space="preserve">and </w:t>
      </w:r>
      <w:r w:rsidRPr="009B2080">
        <w:rPr>
          <w:rFonts w:ascii="Times New Roman" w:hAnsi="Times New Roman" w:cs="Times New Roman"/>
          <w:sz w:val="28"/>
          <w:szCs w:val="28"/>
        </w:rPr>
        <w:t xml:space="preserve">on-line giving to strengthen fundraising besides increasing our social media following through various platforms like twitter. </w:t>
      </w:r>
      <w:r w:rsidR="00A869F0" w:rsidRPr="009B2080">
        <w:rPr>
          <w:rFonts w:ascii="Times New Roman" w:hAnsi="Times New Roman" w:cs="Times New Roman"/>
          <w:sz w:val="28"/>
          <w:szCs w:val="28"/>
        </w:rPr>
        <w:t>In the same vein</w:t>
      </w:r>
      <w:r w:rsidRPr="009B2080">
        <w:rPr>
          <w:rFonts w:ascii="Times New Roman" w:hAnsi="Times New Roman" w:cs="Times New Roman"/>
          <w:sz w:val="28"/>
          <w:szCs w:val="28"/>
        </w:rPr>
        <w:t xml:space="preserve">, </w:t>
      </w:r>
      <w:r w:rsidR="003E09D1" w:rsidRPr="009B2080">
        <w:rPr>
          <w:rFonts w:ascii="Times New Roman" w:hAnsi="Times New Roman" w:cs="Times New Roman"/>
          <w:sz w:val="28"/>
          <w:szCs w:val="28"/>
        </w:rPr>
        <w:t>South Africa Red Cross Society (</w:t>
      </w:r>
      <w:r w:rsidRPr="009B2080">
        <w:rPr>
          <w:rFonts w:ascii="Times New Roman" w:hAnsi="Times New Roman" w:cs="Times New Roman"/>
          <w:sz w:val="28"/>
          <w:szCs w:val="28"/>
        </w:rPr>
        <w:t>SARCS</w:t>
      </w:r>
      <w:r w:rsidR="003E09D1" w:rsidRPr="009B2080">
        <w:rPr>
          <w:rFonts w:ascii="Times New Roman" w:hAnsi="Times New Roman" w:cs="Times New Roman"/>
          <w:sz w:val="28"/>
          <w:szCs w:val="28"/>
        </w:rPr>
        <w:t>)</w:t>
      </w:r>
      <w:r w:rsidRPr="009B2080">
        <w:rPr>
          <w:rFonts w:ascii="Times New Roman" w:hAnsi="Times New Roman" w:cs="Times New Roman"/>
          <w:sz w:val="28"/>
          <w:szCs w:val="28"/>
        </w:rPr>
        <w:t xml:space="preserve"> ha</w:t>
      </w:r>
      <w:r w:rsidR="00CC65E7" w:rsidRPr="009B2080">
        <w:rPr>
          <w:rFonts w:ascii="Times New Roman" w:hAnsi="Times New Roman" w:cs="Times New Roman"/>
          <w:sz w:val="28"/>
          <w:szCs w:val="28"/>
        </w:rPr>
        <w:t>s</w:t>
      </w:r>
      <w:r w:rsidRPr="009B2080">
        <w:rPr>
          <w:rFonts w:ascii="Times New Roman" w:hAnsi="Times New Roman" w:cs="Times New Roman"/>
          <w:sz w:val="28"/>
          <w:szCs w:val="28"/>
        </w:rPr>
        <w:t xml:space="preserve"> </w:t>
      </w:r>
      <w:r w:rsidR="00A869F0" w:rsidRPr="009B2080">
        <w:rPr>
          <w:rFonts w:ascii="Times New Roman" w:hAnsi="Times New Roman" w:cs="Times New Roman"/>
          <w:sz w:val="28"/>
          <w:szCs w:val="28"/>
        </w:rPr>
        <w:t xml:space="preserve">an </w:t>
      </w:r>
      <w:r w:rsidRPr="009B2080">
        <w:rPr>
          <w:rFonts w:ascii="Times New Roman" w:hAnsi="Times New Roman" w:cs="Times New Roman"/>
          <w:sz w:val="28"/>
          <w:szCs w:val="28"/>
        </w:rPr>
        <w:t>app that also support</w:t>
      </w:r>
      <w:r w:rsidR="00CC65E7" w:rsidRPr="009B2080">
        <w:rPr>
          <w:rFonts w:ascii="Times New Roman" w:hAnsi="Times New Roman" w:cs="Times New Roman"/>
          <w:sz w:val="28"/>
          <w:szCs w:val="28"/>
        </w:rPr>
        <w:t>s</w:t>
      </w:r>
      <w:r w:rsidRPr="009B2080">
        <w:rPr>
          <w:rFonts w:ascii="Times New Roman" w:hAnsi="Times New Roman" w:cs="Times New Roman"/>
          <w:sz w:val="28"/>
          <w:szCs w:val="28"/>
        </w:rPr>
        <w:t xml:space="preserve"> fundraising, digital and online giving part of the </w:t>
      </w:r>
      <w:r w:rsidR="00DD6BCB" w:rsidRPr="009B2080">
        <w:rPr>
          <w:rFonts w:ascii="Times New Roman" w:hAnsi="Times New Roman" w:cs="Times New Roman"/>
          <w:i/>
          <w:sz w:val="28"/>
          <w:szCs w:val="28"/>
        </w:rPr>
        <w:t>Benevon</w:t>
      </w:r>
      <w:r w:rsidRPr="009B2080">
        <w:rPr>
          <w:rFonts w:ascii="Times New Roman" w:hAnsi="Times New Roman" w:cs="Times New Roman"/>
          <w:sz w:val="28"/>
          <w:szCs w:val="28"/>
        </w:rPr>
        <w:t xml:space="preserve"> model</w:t>
      </w:r>
      <w:r w:rsidR="003E09D1" w:rsidRPr="009B2080">
        <w:rPr>
          <w:rFonts w:ascii="Times New Roman" w:hAnsi="Times New Roman" w:cs="Times New Roman"/>
          <w:sz w:val="28"/>
          <w:szCs w:val="28"/>
        </w:rPr>
        <w:t>.</w:t>
      </w:r>
      <w:r w:rsidR="00CC65E7" w:rsidRPr="009B2080">
        <w:rPr>
          <w:rFonts w:ascii="Times New Roman" w:hAnsi="Times New Roman" w:cs="Times New Roman"/>
          <w:color w:val="FF0000"/>
          <w:sz w:val="28"/>
          <w:szCs w:val="28"/>
        </w:rPr>
        <w:t xml:space="preserve"> </w:t>
      </w:r>
      <w:r w:rsidR="00B26F6F" w:rsidRPr="009B2080">
        <w:rPr>
          <w:rFonts w:ascii="Times New Roman" w:hAnsi="Times New Roman" w:cs="Times New Roman"/>
          <w:sz w:val="28"/>
          <w:szCs w:val="28"/>
        </w:rPr>
        <w:t xml:space="preserve">To improve resource mobilization capacity of the NSs, efforts have been made towards identifying appropriate off-the-shelf domestic fundraising models and pilot with at least two ANS. So </w:t>
      </w:r>
      <w:r w:rsidR="00CC65E7" w:rsidRPr="009B2080">
        <w:rPr>
          <w:rFonts w:ascii="Times New Roman" w:hAnsi="Times New Roman" w:cs="Times New Roman"/>
          <w:sz w:val="28"/>
          <w:szCs w:val="28"/>
        </w:rPr>
        <w:t>far,</w:t>
      </w:r>
      <w:r w:rsidR="00B26F6F" w:rsidRPr="009B2080">
        <w:rPr>
          <w:rFonts w:ascii="Times New Roman" w:hAnsi="Times New Roman" w:cs="Times New Roman"/>
          <w:sz w:val="28"/>
          <w:szCs w:val="28"/>
        </w:rPr>
        <w:t xml:space="preserve"> a contract has been signed, a workshop </w:t>
      </w:r>
      <w:r w:rsidR="00C93E67" w:rsidRPr="009B2080">
        <w:rPr>
          <w:rFonts w:ascii="Times New Roman" w:hAnsi="Times New Roman" w:cs="Times New Roman"/>
          <w:sz w:val="28"/>
          <w:szCs w:val="28"/>
        </w:rPr>
        <w:t>completed,</w:t>
      </w:r>
      <w:r w:rsidR="00B26F6F" w:rsidRPr="009B2080">
        <w:rPr>
          <w:rFonts w:ascii="Times New Roman" w:hAnsi="Times New Roman" w:cs="Times New Roman"/>
          <w:sz w:val="28"/>
          <w:szCs w:val="28"/>
        </w:rPr>
        <w:t xml:space="preserve"> and coaching has begun for six National Societies. Also, one off-the-shelf training was conducted for five NS</w:t>
      </w:r>
      <w:r w:rsidR="00CC65E7" w:rsidRPr="009B2080">
        <w:rPr>
          <w:rFonts w:ascii="Times New Roman" w:hAnsi="Times New Roman" w:cs="Times New Roman"/>
          <w:sz w:val="28"/>
          <w:szCs w:val="28"/>
        </w:rPr>
        <w:t>s</w:t>
      </w:r>
      <w:r w:rsidR="00B26F6F" w:rsidRPr="009B2080">
        <w:rPr>
          <w:rFonts w:ascii="Times New Roman" w:hAnsi="Times New Roman" w:cs="Times New Roman"/>
          <w:sz w:val="28"/>
          <w:szCs w:val="28"/>
        </w:rPr>
        <w:t xml:space="preserve"> in Southern Africa.</w:t>
      </w:r>
      <w:r w:rsidR="00CC65E7" w:rsidRPr="009B2080">
        <w:rPr>
          <w:rFonts w:ascii="Times New Roman" w:hAnsi="Times New Roman" w:cs="Times New Roman"/>
          <w:sz w:val="28"/>
          <w:szCs w:val="28"/>
        </w:rPr>
        <w:br/>
      </w:r>
    </w:p>
    <w:p w14:paraId="1D6D5408" w14:textId="7377783B" w:rsidR="00123645" w:rsidRPr="009B2080" w:rsidRDefault="00454F81"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To</w:t>
      </w:r>
      <w:r w:rsidR="00F83AAC" w:rsidRPr="009B2080">
        <w:rPr>
          <w:rFonts w:ascii="Times New Roman" w:hAnsi="Times New Roman" w:cs="Times New Roman"/>
          <w:sz w:val="28"/>
          <w:szCs w:val="28"/>
        </w:rPr>
        <w:t xml:space="preserve"> monitor the results related to fund raising and resource mobilization, efforts have been made towards, recording the number of ANS receiving over 50</w:t>
      </w:r>
      <w:r w:rsidR="00285EC4" w:rsidRPr="009B2080">
        <w:rPr>
          <w:rFonts w:ascii="Times New Roman" w:hAnsi="Times New Roman" w:cs="Times New Roman"/>
          <w:sz w:val="28"/>
          <w:szCs w:val="28"/>
        </w:rPr>
        <w:t xml:space="preserve"> per cent </w:t>
      </w:r>
      <w:r w:rsidR="00F83AAC" w:rsidRPr="009B2080">
        <w:rPr>
          <w:rFonts w:ascii="Times New Roman" w:hAnsi="Times New Roman" w:cs="Times New Roman"/>
          <w:sz w:val="28"/>
          <w:szCs w:val="28"/>
        </w:rPr>
        <w:t xml:space="preserve">of annual income from domestic sources. This is ongoing through implementation of PAC indicators and so far, </w:t>
      </w:r>
      <w:r w:rsidR="00285EC4" w:rsidRPr="009B2080">
        <w:rPr>
          <w:rFonts w:ascii="Times New Roman" w:hAnsi="Times New Roman" w:cs="Times New Roman"/>
          <w:sz w:val="28"/>
          <w:szCs w:val="28"/>
        </w:rPr>
        <w:t xml:space="preserve">two </w:t>
      </w:r>
      <w:r w:rsidR="00F83AAC" w:rsidRPr="009B2080">
        <w:rPr>
          <w:rFonts w:ascii="Times New Roman" w:hAnsi="Times New Roman" w:cs="Times New Roman"/>
          <w:sz w:val="28"/>
          <w:szCs w:val="28"/>
        </w:rPr>
        <w:t xml:space="preserve">NS </w:t>
      </w:r>
      <w:r w:rsidR="00DE2EE8" w:rsidRPr="009B2080">
        <w:rPr>
          <w:rFonts w:ascii="Times New Roman" w:hAnsi="Times New Roman" w:cs="Times New Roman"/>
          <w:sz w:val="28"/>
          <w:szCs w:val="28"/>
        </w:rPr>
        <w:t xml:space="preserve">in Southern Africa </w:t>
      </w:r>
      <w:r w:rsidR="00F83AAC" w:rsidRPr="009B2080">
        <w:rPr>
          <w:rFonts w:ascii="Times New Roman" w:hAnsi="Times New Roman" w:cs="Times New Roman"/>
          <w:sz w:val="28"/>
          <w:szCs w:val="28"/>
        </w:rPr>
        <w:t>have over 50</w:t>
      </w:r>
      <w:r w:rsidR="00285EC4" w:rsidRPr="009B2080">
        <w:rPr>
          <w:rFonts w:ascii="Times New Roman" w:hAnsi="Times New Roman" w:cs="Times New Roman"/>
          <w:sz w:val="28"/>
          <w:szCs w:val="28"/>
        </w:rPr>
        <w:t xml:space="preserve">per cent </w:t>
      </w:r>
      <w:r w:rsidR="00F83AAC" w:rsidRPr="009B2080">
        <w:rPr>
          <w:rFonts w:ascii="Times New Roman" w:hAnsi="Times New Roman" w:cs="Times New Roman"/>
          <w:sz w:val="28"/>
          <w:szCs w:val="28"/>
        </w:rPr>
        <w:t>income raised through domestic resources.</w:t>
      </w:r>
      <w:r w:rsidR="00B26F6F" w:rsidRPr="009B2080">
        <w:rPr>
          <w:rFonts w:ascii="Times New Roman" w:hAnsi="Times New Roman" w:cs="Times New Roman"/>
          <w:sz w:val="28"/>
          <w:szCs w:val="28"/>
        </w:rPr>
        <w:t xml:space="preserve">  </w:t>
      </w:r>
    </w:p>
    <w:p w14:paraId="063D6AD6" w14:textId="77777777" w:rsidR="00F83AAC" w:rsidRPr="009B2080" w:rsidRDefault="00F83AAC" w:rsidP="009B2080">
      <w:pPr>
        <w:spacing w:after="0" w:line="240" w:lineRule="auto"/>
        <w:jc w:val="both"/>
        <w:rPr>
          <w:rFonts w:ascii="Times New Roman" w:hAnsi="Times New Roman" w:cs="Times New Roman"/>
          <w:sz w:val="28"/>
          <w:szCs w:val="28"/>
        </w:rPr>
      </w:pPr>
    </w:p>
    <w:p w14:paraId="641583CB" w14:textId="7CCBF9BD" w:rsidR="00C30C35" w:rsidRPr="009B2080" w:rsidRDefault="00C30C3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Technical support was provided to Namibia Red Cross in drafting a proposal to the Global Climate Fund through their Ministry of </w:t>
      </w:r>
      <w:r w:rsidR="00285EC4" w:rsidRPr="009B2080">
        <w:rPr>
          <w:rFonts w:ascii="Times New Roman" w:hAnsi="Times New Roman" w:cs="Times New Roman"/>
          <w:sz w:val="28"/>
          <w:szCs w:val="28"/>
        </w:rPr>
        <w:t>Environment</w:t>
      </w:r>
      <w:r w:rsidRPr="009B2080">
        <w:rPr>
          <w:rFonts w:ascii="Times New Roman" w:hAnsi="Times New Roman" w:cs="Times New Roman"/>
          <w:sz w:val="28"/>
          <w:szCs w:val="28"/>
        </w:rPr>
        <w:t xml:space="preserve">. </w:t>
      </w:r>
      <w:r w:rsidR="00CC65E7" w:rsidRPr="009B2080">
        <w:rPr>
          <w:rFonts w:ascii="Times New Roman" w:hAnsi="Times New Roman" w:cs="Times New Roman"/>
          <w:sz w:val="28"/>
          <w:szCs w:val="28"/>
        </w:rPr>
        <w:br/>
      </w:r>
    </w:p>
    <w:p w14:paraId="244603C7" w14:textId="3C2C78DA" w:rsidR="00683DC5" w:rsidRPr="009B2080" w:rsidRDefault="00683DC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A concept note on Lake Chad Basin resilience programme which is a sub-regional programme including four National Societies around Lake Chad was developed and shared with DEVCO.</w:t>
      </w:r>
    </w:p>
    <w:p w14:paraId="725BE929" w14:textId="77777777" w:rsidR="00454F81" w:rsidRPr="009B2080" w:rsidRDefault="00454F81" w:rsidP="009B2080">
      <w:pPr>
        <w:spacing w:after="0" w:line="240" w:lineRule="auto"/>
        <w:jc w:val="both"/>
        <w:rPr>
          <w:rFonts w:ascii="Times New Roman" w:hAnsi="Times New Roman" w:cs="Times New Roman"/>
          <w:sz w:val="28"/>
          <w:szCs w:val="28"/>
        </w:rPr>
      </w:pPr>
    </w:p>
    <w:p w14:paraId="4B0CC0CE" w14:textId="3838BF52" w:rsidR="00454F81" w:rsidRPr="009B2080" w:rsidRDefault="00454F81" w:rsidP="00DD6BCB">
      <w:pPr>
        <w:spacing w:after="0" w:line="240" w:lineRule="auto"/>
        <w:rPr>
          <w:rFonts w:ascii="Times New Roman" w:hAnsi="Times New Roman" w:cs="Times New Roman"/>
          <w:b/>
          <w:sz w:val="28"/>
          <w:szCs w:val="28"/>
        </w:rPr>
      </w:pPr>
      <w:r w:rsidRPr="009B2080">
        <w:rPr>
          <w:rFonts w:ascii="Times New Roman" w:hAnsi="Times New Roman" w:cs="Times New Roman"/>
          <w:b/>
          <w:sz w:val="28"/>
          <w:szCs w:val="28"/>
        </w:rPr>
        <w:t>Corrective Action</w:t>
      </w:r>
      <w:r w:rsidR="00CC65E7" w:rsidRPr="009B2080">
        <w:rPr>
          <w:rFonts w:ascii="Times New Roman" w:hAnsi="Times New Roman" w:cs="Times New Roman"/>
          <w:b/>
          <w:sz w:val="28"/>
          <w:szCs w:val="28"/>
        </w:rPr>
        <w:br/>
      </w:r>
    </w:p>
    <w:p w14:paraId="434D82DE" w14:textId="26DA3542" w:rsidR="00454F81" w:rsidRPr="009B2080" w:rsidRDefault="00871FF7" w:rsidP="009B2080">
      <w:pPr>
        <w:pStyle w:val="ListParagraph"/>
        <w:numPr>
          <w:ilvl w:val="0"/>
          <w:numId w:val="5"/>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More support is needed to support NSs to engage their governments in joint proposals to climate finance institutions.</w:t>
      </w:r>
      <w:r w:rsidR="00CC65E7" w:rsidRPr="009B2080">
        <w:rPr>
          <w:rFonts w:ascii="Times New Roman" w:hAnsi="Times New Roman" w:cs="Times New Roman"/>
          <w:sz w:val="28"/>
          <w:szCs w:val="28"/>
        </w:rPr>
        <w:t xml:space="preserve"> N</w:t>
      </w:r>
      <w:r w:rsidR="00454F81" w:rsidRPr="009B2080">
        <w:rPr>
          <w:rFonts w:ascii="Times New Roman" w:hAnsi="Times New Roman" w:cs="Times New Roman"/>
          <w:sz w:val="28"/>
          <w:szCs w:val="28"/>
        </w:rPr>
        <w:t>S</w:t>
      </w:r>
      <w:r w:rsidR="00CC65E7" w:rsidRPr="009B2080">
        <w:rPr>
          <w:rFonts w:ascii="Times New Roman" w:hAnsi="Times New Roman" w:cs="Times New Roman"/>
          <w:sz w:val="28"/>
          <w:szCs w:val="28"/>
        </w:rPr>
        <w:t>s</w:t>
      </w:r>
      <w:r w:rsidR="00454F81" w:rsidRPr="009B2080">
        <w:rPr>
          <w:rFonts w:ascii="Times New Roman" w:hAnsi="Times New Roman" w:cs="Times New Roman"/>
          <w:sz w:val="28"/>
          <w:szCs w:val="28"/>
        </w:rPr>
        <w:t xml:space="preserve"> need additional and increased support for capacity building (Both funding and equipment and trained HR)</w:t>
      </w:r>
    </w:p>
    <w:p w14:paraId="0FA244EF" w14:textId="2B41DAFC" w:rsidR="00454F81" w:rsidRPr="009B2080" w:rsidRDefault="00454F81" w:rsidP="009B2080">
      <w:pPr>
        <w:pStyle w:val="ListParagraph"/>
        <w:numPr>
          <w:ilvl w:val="0"/>
          <w:numId w:val="5"/>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Online media coverage (</w:t>
      </w:r>
      <w:r w:rsidR="00285EC4" w:rsidRPr="009B2080">
        <w:rPr>
          <w:rFonts w:ascii="Times New Roman" w:hAnsi="Times New Roman" w:cs="Times New Roman"/>
          <w:sz w:val="28"/>
          <w:szCs w:val="28"/>
        </w:rPr>
        <w:t>Facebook</w:t>
      </w:r>
      <w:r w:rsidRPr="009B2080">
        <w:rPr>
          <w:rFonts w:ascii="Times New Roman" w:hAnsi="Times New Roman" w:cs="Times New Roman"/>
          <w:sz w:val="28"/>
          <w:szCs w:val="28"/>
        </w:rPr>
        <w:t xml:space="preserve">, </w:t>
      </w:r>
      <w:r w:rsidR="00285EC4" w:rsidRPr="009B2080">
        <w:rPr>
          <w:rFonts w:ascii="Times New Roman" w:hAnsi="Times New Roman" w:cs="Times New Roman"/>
          <w:sz w:val="28"/>
          <w:szCs w:val="28"/>
        </w:rPr>
        <w:t>Instagram</w:t>
      </w:r>
      <w:r w:rsidRPr="009B2080">
        <w:rPr>
          <w:rFonts w:ascii="Times New Roman" w:hAnsi="Times New Roman" w:cs="Times New Roman"/>
          <w:sz w:val="28"/>
          <w:szCs w:val="28"/>
        </w:rPr>
        <w:t>, etc</w:t>
      </w:r>
      <w:r w:rsidR="00285EC4" w:rsidRPr="009B2080">
        <w:rPr>
          <w:rFonts w:ascii="Times New Roman" w:hAnsi="Times New Roman" w:cs="Times New Roman"/>
          <w:sz w:val="28"/>
          <w:szCs w:val="28"/>
        </w:rPr>
        <w:t>.</w:t>
      </w:r>
      <w:r w:rsidRPr="009B2080">
        <w:rPr>
          <w:rFonts w:ascii="Times New Roman" w:hAnsi="Times New Roman" w:cs="Times New Roman"/>
          <w:sz w:val="28"/>
          <w:szCs w:val="28"/>
        </w:rPr>
        <w:t>) should not be limited to emergency operations</w:t>
      </w:r>
    </w:p>
    <w:p w14:paraId="5F3B46D6" w14:textId="1C39F022" w:rsidR="00454F81" w:rsidRPr="009B2080" w:rsidRDefault="00454F81" w:rsidP="009B2080">
      <w:pPr>
        <w:pStyle w:val="ListParagraph"/>
        <w:numPr>
          <w:ilvl w:val="0"/>
          <w:numId w:val="5"/>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In 2018 support the NS</w:t>
      </w:r>
      <w:r w:rsidR="00CC65E7" w:rsidRPr="009B2080">
        <w:rPr>
          <w:rFonts w:ascii="Times New Roman" w:hAnsi="Times New Roman" w:cs="Times New Roman"/>
          <w:sz w:val="28"/>
          <w:szCs w:val="28"/>
        </w:rPr>
        <w:t>s</w:t>
      </w:r>
      <w:r w:rsidRPr="009B2080">
        <w:rPr>
          <w:rFonts w:ascii="Times New Roman" w:hAnsi="Times New Roman" w:cs="Times New Roman"/>
          <w:sz w:val="28"/>
          <w:szCs w:val="28"/>
        </w:rPr>
        <w:t xml:space="preserve"> in advocating with the legislature, government and line ministries for increased government support</w:t>
      </w:r>
    </w:p>
    <w:p w14:paraId="00195A8F" w14:textId="0C0DFB1F" w:rsidR="00454F81" w:rsidRDefault="00454F81" w:rsidP="009B2080">
      <w:pPr>
        <w:pStyle w:val="ListParagraph"/>
        <w:numPr>
          <w:ilvl w:val="0"/>
          <w:numId w:val="5"/>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Develop a resource mobilization strategy</w:t>
      </w:r>
      <w:r w:rsidR="00285EC4" w:rsidRPr="009B2080">
        <w:rPr>
          <w:rFonts w:ascii="Times New Roman" w:hAnsi="Times New Roman" w:cs="Times New Roman"/>
          <w:sz w:val="28"/>
          <w:szCs w:val="28"/>
        </w:rPr>
        <w:t>.</w:t>
      </w:r>
    </w:p>
    <w:p w14:paraId="0F6797C7" w14:textId="5334971E" w:rsidR="00904220" w:rsidRDefault="00904220" w:rsidP="00904220">
      <w:pPr>
        <w:spacing w:after="0" w:line="240" w:lineRule="auto"/>
        <w:jc w:val="both"/>
        <w:rPr>
          <w:rFonts w:ascii="Times New Roman" w:hAnsi="Times New Roman" w:cs="Times New Roman"/>
          <w:sz w:val="28"/>
          <w:szCs w:val="28"/>
        </w:rPr>
      </w:pPr>
    </w:p>
    <w:p w14:paraId="23962BA6" w14:textId="5315394C" w:rsidR="00904220" w:rsidRDefault="00904220" w:rsidP="00904220">
      <w:pPr>
        <w:spacing w:after="0" w:line="240" w:lineRule="auto"/>
        <w:jc w:val="both"/>
        <w:rPr>
          <w:rFonts w:ascii="Times New Roman" w:hAnsi="Times New Roman" w:cs="Times New Roman"/>
          <w:sz w:val="28"/>
          <w:szCs w:val="28"/>
        </w:rPr>
      </w:pPr>
    </w:p>
    <w:p w14:paraId="70440913" w14:textId="77777777" w:rsidR="00904220" w:rsidRPr="00904220" w:rsidRDefault="00904220" w:rsidP="00904220">
      <w:pPr>
        <w:spacing w:after="0" w:line="240" w:lineRule="auto"/>
        <w:jc w:val="both"/>
        <w:rPr>
          <w:rFonts w:ascii="Times New Roman" w:hAnsi="Times New Roman" w:cs="Times New Roman"/>
          <w:sz w:val="28"/>
          <w:szCs w:val="28"/>
        </w:rPr>
      </w:pPr>
    </w:p>
    <w:p w14:paraId="799D4470" w14:textId="77777777" w:rsidR="00D01A32" w:rsidRPr="009B2080" w:rsidRDefault="00D01A32" w:rsidP="009B2080">
      <w:pPr>
        <w:spacing w:after="0" w:line="240" w:lineRule="auto"/>
        <w:jc w:val="both"/>
        <w:rPr>
          <w:rFonts w:ascii="Times New Roman" w:hAnsi="Times New Roman" w:cs="Times New Roman"/>
          <w:sz w:val="28"/>
          <w:szCs w:val="28"/>
        </w:rPr>
      </w:pPr>
    </w:p>
    <w:p w14:paraId="35677CAE" w14:textId="77777777" w:rsidR="006A65D2" w:rsidRPr="009B2080" w:rsidRDefault="006A65D2" w:rsidP="009B2080">
      <w:pPr>
        <w:spacing w:after="0" w:line="240" w:lineRule="auto"/>
        <w:jc w:val="both"/>
        <w:rPr>
          <w:rFonts w:ascii="Times New Roman" w:hAnsi="Times New Roman" w:cs="Times New Roman"/>
          <w:b/>
          <w:sz w:val="28"/>
          <w:szCs w:val="28"/>
        </w:rPr>
      </w:pPr>
      <w:r w:rsidRPr="009B2080">
        <w:rPr>
          <w:rFonts w:ascii="Times New Roman" w:hAnsi="Times New Roman" w:cs="Times New Roman"/>
          <w:b/>
          <w:sz w:val="28"/>
          <w:szCs w:val="28"/>
        </w:rPr>
        <w:lastRenderedPageBreak/>
        <w:t>SFI 4: A STRONG IFRC THAT IS EFFECTIVE, CREDIBLE AND ACCOUNTABLE</w:t>
      </w:r>
    </w:p>
    <w:p w14:paraId="5E26DDB3" w14:textId="77777777" w:rsidR="00025AB5" w:rsidRPr="009B2080" w:rsidRDefault="00025AB5" w:rsidP="009B2080">
      <w:pPr>
        <w:spacing w:after="0" w:line="240" w:lineRule="auto"/>
        <w:jc w:val="both"/>
        <w:rPr>
          <w:rFonts w:ascii="Times New Roman" w:hAnsi="Times New Roman" w:cs="Times New Roman"/>
          <w:b/>
          <w:sz w:val="28"/>
          <w:szCs w:val="28"/>
        </w:rPr>
      </w:pPr>
    </w:p>
    <w:p w14:paraId="1414089A" w14:textId="77777777" w:rsidR="00025AB5" w:rsidRPr="009B2080" w:rsidRDefault="00025AB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bCs/>
          <w:sz w:val="28"/>
          <w:szCs w:val="28"/>
        </w:rPr>
        <w:t>The progress under the SFI 4 is</w:t>
      </w:r>
      <w:r w:rsidRPr="009B2080">
        <w:rPr>
          <w:rFonts w:ascii="Times New Roman" w:hAnsi="Times New Roman" w:cs="Times New Roman"/>
          <w:sz w:val="28"/>
          <w:szCs w:val="28"/>
        </w:rPr>
        <w:t xml:space="preserve"> rated green with an overall score of 3.7 out of 5. This is an indication of very good progress so far regarding achievement of the relevant milestones.</w:t>
      </w:r>
    </w:p>
    <w:p w14:paraId="5F9AB6FD" w14:textId="05430BB5" w:rsidR="00025AB5" w:rsidRPr="009B2080" w:rsidRDefault="00025AB5"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Movement partners have been engaged in the development of HR strategy to enable predictable staffing. HR master plan, Ops Room, A</w:t>
      </w:r>
      <w:r w:rsidR="00CC65E7" w:rsidRPr="009B2080">
        <w:rPr>
          <w:rFonts w:ascii="Times New Roman" w:hAnsi="Times New Roman" w:cs="Times New Roman"/>
          <w:sz w:val="28"/>
          <w:szCs w:val="28"/>
        </w:rPr>
        <w:t>D</w:t>
      </w:r>
      <w:r w:rsidRPr="009B2080">
        <w:rPr>
          <w:rFonts w:ascii="Times New Roman" w:hAnsi="Times New Roman" w:cs="Times New Roman"/>
          <w:sz w:val="28"/>
          <w:szCs w:val="28"/>
        </w:rPr>
        <w:t xml:space="preserve">MAG </w:t>
      </w:r>
      <w:r w:rsidR="00285EC4" w:rsidRPr="009B2080">
        <w:rPr>
          <w:rFonts w:ascii="Times New Roman" w:hAnsi="Times New Roman" w:cs="Times New Roman"/>
          <w:sz w:val="28"/>
          <w:szCs w:val="28"/>
        </w:rPr>
        <w:t>(</w:t>
      </w:r>
      <w:r w:rsidR="00285EC4" w:rsidRPr="009B2080">
        <w:rPr>
          <w:rFonts w:ascii="Times New Roman" w:hAnsi="Times New Roman" w:cs="Times New Roman"/>
          <w:sz w:val="28"/>
          <w:szCs w:val="28"/>
          <w:shd w:val="clear" w:color="auto" w:fill="FFFFFF"/>
        </w:rPr>
        <w:t>African Disaster Management Working Group</w:t>
      </w:r>
      <w:r w:rsidR="00285EC4" w:rsidRPr="009B2080">
        <w:rPr>
          <w:rFonts w:ascii="Times New Roman" w:hAnsi="Times New Roman" w:cs="Times New Roman"/>
          <w:sz w:val="28"/>
          <w:szCs w:val="28"/>
        </w:rPr>
        <w:t xml:space="preserve">) </w:t>
      </w:r>
      <w:r w:rsidRPr="009B2080">
        <w:rPr>
          <w:rFonts w:ascii="Times New Roman" w:hAnsi="Times New Roman" w:cs="Times New Roman"/>
          <w:sz w:val="28"/>
          <w:szCs w:val="28"/>
        </w:rPr>
        <w:t>all trying to promote a common HR strategy. In addition, there ha</w:t>
      </w:r>
      <w:r w:rsidR="00CC65E7" w:rsidRPr="009B2080">
        <w:rPr>
          <w:rFonts w:ascii="Times New Roman" w:hAnsi="Times New Roman" w:cs="Times New Roman"/>
          <w:sz w:val="28"/>
          <w:szCs w:val="28"/>
        </w:rPr>
        <w:t>ve</w:t>
      </w:r>
      <w:r w:rsidRPr="009B2080">
        <w:rPr>
          <w:rFonts w:ascii="Times New Roman" w:hAnsi="Times New Roman" w:cs="Times New Roman"/>
          <w:sz w:val="28"/>
          <w:szCs w:val="28"/>
        </w:rPr>
        <w:t xml:space="preserve"> been considerable efforts to expand technical support teams by </w:t>
      </w:r>
      <w:r w:rsidR="00AB195D" w:rsidRPr="009B2080">
        <w:rPr>
          <w:rFonts w:ascii="Times New Roman" w:hAnsi="Times New Roman" w:cs="Times New Roman"/>
          <w:sz w:val="28"/>
          <w:szCs w:val="28"/>
        </w:rPr>
        <w:t>including</w:t>
      </w:r>
      <w:r w:rsidRPr="009B2080">
        <w:rPr>
          <w:rFonts w:ascii="Times New Roman" w:hAnsi="Times New Roman" w:cs="Times New Roman"/>
          <w:sz w:val="28"/>
          <w:szCs w:val="28"/>
        </w:rPr>
        <w:t xml:space="preserve"> representation of NS</w:t>
      </w:r>
      <w:r w:rsidR="00CC65E7" w:rsidRPr="009B2080">
        <w:rPr>
          <w:rFonts w:ascii="Times New Roman" w:hAnsi="Times New Roman" w:cs="Times New Roman"/>
          <w:sz w:val="28"/>
          <w:szCs w:val="28"/>
        </w:rPr>
        <w:t>s</w:t>
      </w:r>
      <w:r w:rsidRPr="009B2080">
        <w:rPr>
          <w:rFonts w:ascii="Times New Roman" w:hAnsi="Times New Roman" w:cs="Times New Roman"/>
          <w:sz w:val="28"/>
          <w:szCs w:val="28"/>
        </w:rPr>
        <w:t xml:space="preserve"> who demonstrate great potential. </w:t>
      </w:r>
      <w:r w:rsidR="00AB195D" w:rsidRPr="009B2080">
        <w:rPr>
          <w:rFonts w:ascii="Times New Roman" w:hAnsi="Times New Roman" w:cs="Times New Roman"/>
          <w:sz w:val="28"/>
          <w:szCs w:val="28"/>
        </w:rPr>
        <w:t>Competent NS staff have been deployed to support in operation such as the Uganda population movement.</w:t>
      </w:r>
    </w:p>
    <w:p w14:paraId="4D6AE6D8" w14:textId="77777777" w:rsidR="00AB195D" w:rsidRPr="009B2080" w:rsidRDefault="00AB195D" w:rsidP="009B2080">
      <w:pPr>
        <w:spacing w:after="0" w:line="240" w:lineRule="auto"/>
        <w:jc w:val="both"/>
        <w:rPr>
          <w:rFonts w:ascii="Times New Roman" w:hAnsi="Times New Roman" w:cs="Times New Roman"/>
          <w:sz w:val="28"/>
          <w:szCs w:val="28"/>
        </w:rPr>
      </w:pPr>
    </w:p>
    <w:p w14:paraId="1926CBA1" w14:textId="7476AE6C" w:rsidR="00AB195D" w:rsidRPr="009B2080" w:rsidRDefault="00AB195D"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IFRC has demonstrated greater compliance with minimum security regulations. For instance, all staff have undertaken the </w:t>
      </w:r>
      <w:r w:rsidR="00CC65E7" w:rsidRPr="009B2080">
        <w:rPr>
          <w:rFonts w:ascii="Times New Roman" w:hAnsi="Times New Roman" w:cs="Times New Roman"/>
          <w:sz w:val="28"/>
          <w:szCs w:val="28"/>
        </w:rPr>
        <w:t>“</w:t>
      </w:r>
      <w:r w:rsidRPr="009B2080">
        <w:rPr>
          <w:rFonts w:ascii="Times New Roman" w:hAnsi="Times New Roman" w:cs="Times New Roman"/>
          <w:sz w:val="28"/>
          <w:szCs w:val="28"/>
        </w:rPr>
        <w:t>stay safe security course</w:t>
      </w:r>
      <w:r w:rsidR="00CC65E7" w:rsidRPr="009B2080">
        <w:rPr>
          <w:rFonts w:ascii="Times New Roman" w:hAnsi="Times New Roman" w:cs="Times New Roman"/>
          <w:sz w:val="28"/>
          <w:szCs w:val="28"/>
        </w:rPr>
        <w:t>”</w:t>
      </w:r>
      <w:r w:rsidRPr="009B2080">
        <w:rPr>
          <w:rFonts w:ascii="Times New Roman" w:hAnsi="Times New Roman" w:cs="Times New Roman"/>
          <w:sz w:val="28"/>
          <w:szCs w:val="28"/>
        </w:rPr>
        <w:t xml:space="preserve">, the organization </w:t>
      </w:r>
      <w:r w:rsidR="00CC65E7" w:rsidRPr="009B2080">
        <w:rPr>
          <w:rFonts w:ascii="Times New Roman" w:hAnsi="Times New Roman" w:cs="Times New Roman"/>
          <w:sz w:val="28"/>
          <w:szCs w:val="28"/>
        </w:rPr>
        <w:t>was</w:t>
      </w:r>
      <w:r w:rsidRPr="009B2080">
        <w:rPr>
          <w:rFonts w:ascii="Times New Roman" w:hAnsi="Times New Roman" w:cs="Times New Roman"/>
          <w:sz w:val="28"/>
          <w:szCs w:val="28"/>
        </w:rPr>
        <w:t xml:space="preserve"> </w:t>
      </w:r>
      <w:r w:rsidR="00CC65E7" w:rsidRPr="009B2080">
        <w:rPr>
          <w:rFonts w:ascii="Times New Roman" w:hAnsi="Times New Roman" w:cs="Times New Roman"/>
          <w:sz w:val="28"/>
          <w:szCs w:val="28"/>
        </w:rPr>
        <w:t>MSR (</w:t>
      </w:r>
      <w:r w:rsidR="007B3B32" w:rsidRPr="009B2080">
        <w:rPr>
          <w:rFonts w:ascii="Times New Roman" w:hAnsi="Times New Roman" w:cs="Times New Roman"/>
          <w:sz w:val="28"/>
          <w:szCs w:val="28"/>
        </w:rPr>
        <w:t>Minimum Security Requirement</w:t>
      </w:r>
      <w:r w:rsidR="00CC65E7" w:rsidRPr="009B2080">
        <w:rPr>
          <w:rFonts w:ascii="Times New Roman" w:hAnsi="Times New Roman" w:cs="Times New Roman"/>
          <w:sz w:val="28"/>
          <w:szCs w:val="28"/>
        </w:rPr>
        <w:t xml:space="preserve">) </w:t>
      </w:r>
      <w:r w:rsidRPr="009B2080">
        <w:rPr>
          <w:rFonts w:ascii="Times New Roman" w:hAnsi="Times New Roman" w:cs="Times New Roman"/>
          <w:sz w:val="28"/>
          <w:szCs w:val="28"/>
        </w:rPr>
        <w:t xml:space="preserve">compliant in 2017 and </w:t>
      </w:r>
      <w:r w:rsidR="00CC65E7" w:rsidRPr="009B2080">
        <w:rPr>
          <w:rFonts w:ascii="Times New Roman" w:hAnsi="Times New Roman" w:cs="Times New Roman"/>
          <w:sz w:val="28"/>
          <w:szCs w:val="28"/>
        </w:rPr>
        <w:t xml:space="preserve">the </w:t>
      </w:r>
      <w:r w:rsidRPr="009B2080">
        <w:rPr>
          <w:rFonts w:ascii="Times New Roman" w:hAnsi="Times New Roman" w:cs="Times New Roman"/>
          <w:sz w:val="28"/>
          <w:szCs w:val="28"/>
        </w:rPr>
        <w:t>MSR</w:t>
      </w:r>
      <w:r w:rsidR="00CC65E7" w:rsidRPr="009B2080">
        <w:rPr>
          <w:rFonts w:ascii="Times New Roman" w:hAnsi="Times New Roman" w:cs="Times New Roman"/>
          <w:sz w:val="28"/>
          <w:szCs w:val="28"/>
        </w:rPr>
        <w:t xml:space="preserve"> framework</w:t>
      </w:r>
      <w:r w:rsidRPr="009B2080">
        <w:rPr>
          <w:rFonts w:ascii="Times New Roman" w:hAnsi="Times New Roman" w:cs="Times New Roman"/>
          <w:sz w:val="28"/>
          <w:szCs w:val="28"/>
        </w:rPr>
        <w:t xml:space="preserve"> is constantly updated.</w:t>
      </w:r>
    </w:p>
    <w:p w14:paraId="005EAD31" w14:textId="77777777" w:rsidR="00AB195D" w:rsidRPr="009B2080" w:rsidRDefault="00AB195D" w:rsidP="009B2080">
      <w:pPr>
        <w:spacing w:after="0" w:line="240" w:lineRule="auto"/>
        <w:jc w:val="both"/>
        <w:rPr>
          <w:rFonts w:ascii="Times New Roman" w:hAnsi="Times New Roman" w:cs="Times New Roman"/>
          <w:sz w:val="28"/>
          <w:szCs w:val="28"/>
        </w:rPr>
      </w:pPr>
    </w:p>
    <w:p w14:paraId="4B26F223" w14:textId="2060E9AE" w:rsidR="00AB195D" w:rsidRPr="009B2080" w:rsidRDefault="00AB195D" w:rsidP="009B2080">
      <w:p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In terms of ensuring accountability in financial management, efforts have been made towards changing the financial working modalities to a </w:t>
      </w:r>
      <w:r w:rsidR="00CC65E7" w:rsidRPr="009B2080">
        <w:rPr>
          <w:rFonts w:ascii="Times New Roman" w:hAnsi="Times New Roman" w:cs="Times New Roman"/>
          <w:sz w:val="28"/>
          <w:szCs w:val="28"/>
        </w:rPr>
        <w:t>“</w:t>
      </w:r>
      <w:r w:rsidRPr="009B2080">
        <w:rPr>
          <w:rFonts w:ascii="Times New Roman" w:hAnsi="Times New Roman" w:cs="Times New Roman"/>
          <w:sz w:val="28"/>
          <w:szCs w:val="28"/>
        </w:rPr>
        <w:t>funds advance</w:t>
      </w:r>
      <w:r w:rsidR="00CC65E7" w:rsidRPr="009B2080">
        <w:rPr>
          <w:rFonts w:ascii="Times New Roman" w:hAnsi="Times New Roman" w:cs="Times New Roman"/>
          <w:sz w:val="28"/>
          <w:szCs w:val="28"/>
        </w:rPr>
        <w:t>”</w:t>
      </w:r>
      <w:r w:rsidRPr="009B2080">
        <w:rPr>
          <w:rFonts w:ascii="Times New Roman" w:hAnsi="Times New Roman" w:cs="Times New Roman"/>
          <w:sz w:val="28"/>
          <w:szCs w:val="28"/>
        </w:rPr>
        <w:t xml:space="preserve"> process that entrusts full accounting and financial management responsibility to the National Societies. This is still in pilot stage.</w:t>
      </w:r>
    </w:p>
    <w:p w14:paraId="3024118B" w14:textId="77777777" w:rsidR="00025AB5" w:rsidRPr="009B2080" w:rsidRDefault="00025AB5" w:rsidP="009B2080">
      <w:pPr>
        <w:spacing w:after="0" w:line="240" w:lineRule="auto"/>
        <w:jc w:val="both"/>
        <w:rPr>
          <w:rFonts w:ascii="Times New Roman" w:hAnsi="Times New Roman" w:cs="Times New Roman"/>
          <w:sz w:val="28"/>
          <w:szCs w:val="28"/>
        </w:rPr>
      </w:pPr>
    </w:p>
    <w:p w14:paraId="0F1A05AC" w14:textId="7BD0F68E" w:rsidR="00025AB5" w:rsidRPr="009B2080" w:rsidRDefault="00AB195D" w:rsidP="00904220">
      <w:pPr>
        <w:spacing w:after="0" w:line="240" w:lineRule="auto"/>
        <w:rPr>
          <w:rFonts w:ascii="Times New Roman" w:hAnsi="Times New Roman" w:cs="Times New Roman"/>
          <w:b/>
          <w:sz w:val="28"/>
          <w:szCs w:val="28"/>
        </w:rPr>
      </w:pPr>
      <w:r w:rsidRPr="009B2080">
        <w:rPr>
          <w:rFonts w:ascii="Times New Roman" w:hAnsi="Times New Roman" w:cs="Times New Roman"/>
          <w:b/>
          <w:sz w:val="28"/>
          <w:szCs w:val="28"/>
        </w:rPr>
        <w:t>Corrective</w:t>
      </w:r>
      <w:r w:rsidR="00904220">
        <w:rPr>
          <w:rFonts w:ascii="Times New Roman" w:hAnsi="Times New Roman" w:cs="Times New Roman"/>
          <w:b/>
          <w:sz w:val="28"/>
          <w:szCs w:val="28"/>
        </w:rPr>
        <w:t xml:space="preserve"> A</w:t>
      </w:r>
      <w:r w:rsidRPr="009B2080">
        <w:rPr>
          <w:rFonts w:ascii="Times New Roman" w:hAnsi="Times New Roman" w:cs="Times New Roman"/>
          <w:b/>
          <w:sz w:val="28"/>
          <w:szCs w:val="28"/>
        </w:rPr>
        <w:t>ction</w:t>
      </w:r>
      <w:r w:rsidR="00CC65E7" w:rsidRPr="009B2080">
        <w:rPr>
          <w:rFonts w:ascii="Times New Roman" w:hAnsi="Times New Roman" w:cs="Times New Roman"/>
          <w:b/>
          <w:sz w:val="28"/>
          <w:szCs w:val="28"/>
        </w:rPr>
        <w:br/>
      </w:r>
    </w:p>
    <w:p w14:paraId="74584C02" w14:textId="4B45494A" w:rsidR="00AB195D" w:rsidRPr="009B2080" w:rsidRDefault="00C438A9" w:rsidP="009B2080">
      <w:pPr>
        <w:pStyle w:val="ListParagraph"/>
        <w:numPr>
          <w:ilvl w:val="0"/>
          <w:numId w:val="6"/>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 xml:space="preserve">There is still </w:t>
      </w:r>
      <w:r w:rsidR="00CC65E7" w:rsidRPr="009B2080">
        <w:rPr>
          <w:rFonts w:ascii="Times New Roman" w:hAnsi="Times New Roman" w:cs="Times New Roman"/>
          <w:sz w:val="28"/>
          <w:szCs w:val="28"/>
        </w:rPr>
        <w:t xml:space="preserve">a </w:t>
      </w:r>
      <w:r w:rsidRPr="009B2080">
        <w:rPr>
          <w:rFonts w:ascii="Times New Roman" w:hAnsi="Times New Roman" w:cs="Times New Roman"/>
          <w:sz w:val="28"/>
          <w:szCs w:val="28"/>
        </w:rPr>
        <w:t>need for increased support to NS</w:t>
      </w:r>
      <w:r w:rsidR="00CC65E7" w:rsidRPr="009B2080">
        <w:rPr>
          <w:rFonts w:ascii="Times New Roman" w:hAnsi="Times New Roman" w:cs="Times New Roman"/>
          <w:sz w:val="28"/>
          <w:szCs w:val="28"/>
        </w:rPr>
        <w:t>s</w:t>
      </w:r>
      <w:r w:rsidRPr="009B2080">
        <w:rPr>
          <w:rFonts w:ascii="Times New Roman" w:hAnsi="Times New Roman" w:cs="Times New Roman"/>
          <w:sz w:val="28"/>
          <w:szCs w:val="28"/>
        </w:rPr>
        <w:t xml:space="preserve"> to have the right systems and control</w:t>
      </w:r>
      <w:r w:rsidR="00CC65E7" w:rsidRPr="009B2080">
        <w:rPr>
          <w:rFonts w:ascii="Times New Roman" w:hAnsi="Times New Roman" w:cs="Times New Roman"/>
          <w:sz w:val="28"/>
          <w:szCs w:val="28"/>
        </w:rPr>
        <w:t>s</w:t>
      </w:r>
      <w:r w:rsidRPr="009B2080">
        <w:rPr>
          <w:rFonts w:ascii="Times New Roman" w:hAnsi="Times New Roman" w:cs="Times New Roman"/>
          <w:sz w:val="28"/>
          <w:szCs w:val="28"/>
        </w:rPr>
        <w:t xml:space="preserve"> in place</w:t>
      </w:r>
    </w:p>
    <w:p w14:paraId="7A68CF3A" w14:textId="77777777" w:rsidR="00C438A9" w:rsidRPr="009B2080" w:rsidRDefault="00C438A9" w:rsidP="009B2080">
      <w:pPr>
        <w:pStyle w:val="ListParagraph"/>
        <w:numPr>
          <w:ilvl w:val="0"/>
          <w:numId w:val="6"/>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Monitor gender balance within recruitment processes, facilitating inclusion of persons living with disabilities among our teams</w:t>
      </w:r>
    </w:p>
    <w:p w14:paraId="21E2D07E" w14:textId="77777777" w:rsidR="00C438A9" w:rsidRPr="009B2080" w:rsidRDefault="00C438A9" w:rsidP="009B2080">
      <w:pPr>
        <w:pStyle w:val="ListParagraph"/>
        <w:numPr>
          <w:ilvl w:val="0"/>
          <w:numId w:val="6"/>
        </w:numPr>
        <w:spacing w:after="0" w:line="240" w:lineRule="auto"/>
        <w:jc w:val="both"/>
        <w:rPr>
          <w:rFonts w:ascii="Times New Roman" w:hAnsi="Times New Roman" w:cs="Times New Roman"/>
          <w:sz w:val="28"/>
          <w:szCs w:val="28"/>
        </w:rPr>
      </w:pPr>
      <w:r w:rsidRPr="009B2080">
        <w:rPr>
          <w:rFonts w:ascii="Times New Roman" w:hAnsi="Times New Roman" w:cs="Times New Roman"/>
          <w:sz w:val="28"/>
          <w:szCs w:val="28"/>
        </w:rPr>
        <w:t>Roll out global mobility programme</w:t>
      </w:r>
    </w:p>
    <w:p w14:paraId="15654552" w14:textId="77777777" w:rsidR="00025AB5" w:rsidRPr="004D2C94" w:rsidRDefault="00025AB5" w:rsidP="00CC4528">
      <w:pPr>
        <w:spacing w:after="0" w:line="240" w:lineRule="auto"/>
        <w:rPr>
          <w:rFonts w:ascii="Arial" w:hAnsi="Arial" w:cs="Arial"/>
          <w:b/>
        </w:rPr>
      </w:pPr>
    </w:p>
    <w:p w14:paraId="69212291" w14:textId="77777777" w:rsidR="00AB195D" w:rsidRPr="004D2C94" w:rsidRDefault="00AB195D" w:rsidP="00CC4528">
      <w:pPr>
        <w:spacing w:after="0" w:line="240" w:lineRule="auto"/>
        <w:rPr>
          <w:rFonts w:ascii="Arial" w:hAnsi="Arial" w:cs="Arial"/>
          <w:b/>
        </w:rPr>
      </w:pPr>
    </w:p>
    <w:p w14:paraId="37381554" w14:textId="77777777" w:rsidR="00AB195D" w:rsidRPr="004D2C94" w:rsidRDefault="00AB195D" w:rsidP="00CC4528">
      <w:pPr>
        <w:spacing w:after="0" w:line="240" w:lineRule="auto"/>
        <w:rPr>
          <w:rFonts w:ascii="Arial" w:hAnsi="Arial" w:cs="Arial"/>
          <w:b/>
        </w:rPr>
      </w:pPr>
    </w:p>
    <w:p w14:paraId="7D970CA1" w14:textId="77777777" w:rsidR="00AB195D" w:rsidRPr="004D2C94" w:rsidRDefault="00AB195D" w:rsidP="00CC4528">
      <w:pPr>
        <w:spacing w:after="0" w:line="240" w:lineRule="auto"/>
        <w:rPr>
          <w:rFonts w:ascii="Arial" w:hAnsi="Arial" w:cs="Arial"/>
          <w:b/>
        </w:rPr>
      </w:pPr>
    </w:p>
    <w:p w14:paraId="26CC89E1" w14:textId="77777777" w:rsidR="00AB195D" w:rsidRPr="004D2C94" w:rsidRDefault="00AB195D" w:rsidP="00CC4528">
      <w:pPr>
        <w:spacing w:after="0" w:line="240" w:lineRule="auto"/>
        <w:rPr>
          <w:rFonts w:ascii="Arial" w:hAnsi="Arial" w:cs="Arial"/>
          <w:b/>
        </w:rPr>
      </w:pPr>
    </w:p>
    <w:p w14:paraId="0FD24D4A" w14:textId="77777777" w:rsidR="00AB195D" w:rsidRPr="004D2C94" w:rsidRDefault="00AB195D" w:rsidP="00CC4528">
      <w:pPr>
        <w:spacing w:after="0" w:line="240" w:lineRule="auto"/>
        <w:rPr>
          <w:rFonts w:ascii="Arial" w:hAnsi="Arial" w:cs="Arial"/>
          <w:b/>
        </w:rPr>
      </w:pPr>
    </w:p>
    <w:p w14:paraId="11EBCD7A" w14:textId="77777777" w:rsidR="00AB195D" w:rsidRPr="004D2C94" w:rsidRDefault="00AB195D" w:rsidP="00CC4528">
      <w:pPr>
        <w:spacing w:after="0" w:line="240" w:lineRule="auto"/>
        <w:rPr>
          <w:rFonts w:ascii="Arial" w:hAnsi="Arial" w:cs="Arial"/>
          <w:b/>
        </w:rPr>
      </w:pPr>
    </w:p>
    <w:p w14:paraId="1E3680A3" w14:textId="77777777" w:rsidR="00025AB5" w:rsidRPr="004D2C94" w:rsidRDefault="00025AB5" w:rsidP="00CC4528">
      <w:pPr>
        <w:spacing w:after="0" w:line="240" w:lineRule="auto"/>
        <w:rPr>
          <w:rFonts w:ascii="Arial" w:hAnsi="Arial" w:cs="Arial"/>
          <w:b/>
        </w:rPr>
      </w:pPr>
    </w:p>
    <w:p w14:paraId="2BF1B359" w14:textId="77777777" w:rsidR="00025AB5" w:rsidRPr="00CC4528" w:rsidRDefault="00025AB5" w:rsidP="00CC4528">
      <w:pPr>
        <w:spacing w:after="0" w:line="240" w:lineRule="auto"/>
        <w:rPr>
          <w:rFonts w:ascii="Arial" w:hAnsi="Arial" w:cs="Arial"/>
          <w:b/>
          <w:sz w:val="24"/>
          <w:szCs w:val="24"/>
        </w:rPr>
      </w:pPr>
    </w:p>
    <w:sectPr w:rsidR="00025AB5" w:rsidRPr="00CC45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33E30" w14:textId="77777777" w:rsidR="008C5550" w:rsidRDefault="008C5550" w:rsidP="00126382">
      <w:pPr>
        <w:spacing w:after="0" w:line="240" w:lineRule="auto"/>
      </w:pPr>
      <w:r>
        <w:separator/>
      </w:r>
    </w:p>
  </w:endnote>
  <w:endnote w:type="continuationSeparator" w:id="0">
    <w:p w14:paraId="1AAD0D9B" w14:textId="77777777" w:rsidR="008C5550" w:rsidRDefault="008C5550" w:rsidP="0012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ecilia LT Std 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NeueLT Std">
    <w:altName w:val="Arial"/>
    <w:panose1 w:val="00000000000000000000"/>
    <w:charset w:val="00"/>
    <w:family w:val="roman"/>
    <w:notTrueType/>
    <w:pitch w:val="default"/>
    <w:sig w:usb0="00000003" w:usb1="00000000" w:usb2="00000000"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F05A" w14:textId="77777777" w:rsidR="00993607" w:rsidRDefault="00993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64286" w14:textId="77777777" w:rsidR="00993607" w:rsidRDefault="00993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0C47" w14:textId="77777777" w:rsidR="00993607" w:rsidRDefault="00993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0D321" w14:textId="77777777" w:rsidR="008C5550" w:rsidRDefault="008C5550" w:rsidP="00126382">
      <w:pPr>
        <w:spacing w:after="0" w:line="240" w:lineRule="auto"/>
      </w:pPr>
      <w:r>
        <w:separator/>
      </w:r>
    </w:p>
  </w:footnote>
  <w:footnote w:type="continuationSeparator" w:id="0">
    <w:p w14:paraId="6EDE280E" w14:textId="77777777" w:rsidR="008C5550" w:rsidRDefault="008C5550" w:rsidP="0012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B9D3" w14:textId="73D925EA" w:rsidR="00993607" w:rsidRDefault="00993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22CE" w14:textId="6C908A26" w:rsidR="00993607" w:rsidRDefault="00993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CBFC" w14:textId="3AFF6BD9" w:rsidR="00993607" w:rsidRDefault="0099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46077"/>
    <w:multiLevelType w:val="hybridMultilevel"/>
    <w:tmpl w:val="FCDAD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40982"/>
    <w:multiLevelType w:val="hybridMultilevel"/>
    <w:tmpl w:val="E154F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016A8"/>
    <w:multiLevelType w:val="hybridMultilevel"/>
    <w:tmpl w:val="B574B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024AEE"/>
    <w:multiLevelType w:val="hybridMultilevel"/>
    <w:tmpl w:val="8528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B01867"/>
    <w:multiLevelType w:val="hybridMultilevel"/>
    <w:tmpl w:val="9894F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CE4981"/>
    <w:multiLevelType w:val="hybridMultilevel"/>
    <w:tmpl w:val="55089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B427B"/>
    <w:multiLevelType w:val="hybridMultilevel"/>
    <w:tmpl w:val="35EE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947A3D"/>
    <w:multiLevelType w:val="hybridMultilevel"/>
    <w:tmpl w:val="73B0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CC"/>
    <w:rsid w:val="0001497F"/>
    <w:rsid w:val="00025AB5"/>
    <w:rsid w:val="00033694"/>
    <w:rsid w:val="0004166A"/>
    <w:rsid w:val="00042342"/>
    <w:rsid w:val="00045208"/>
    <w:rsid w:val="00050F98"/>
    <w:rsid w:val="00053724"/>
    <w:rsid w:val="0005495C"/>
    <w:rsid w:val="00057BE8"/>
    <w:rsid w:val="0006399F"/>
    <w:rsid w:val="0006453C"/>
    <w:rsid w:val="00065266"/>
    <w:rsid w:val="00065CC0"/>
    <w:rsid w:val="00073824"/>
    <w:rsid w:val="00073D09"/>
    <w:rsid w:val="0008205F"/>
    <w:rsid w:val="000900A2"/>
    <w:rsid w:val="0009522A"/>
    <w:rsid w:val="000964AB"/>
    <w:rsid w:val="000A3993"/>
    <w:rsid w:val="000B3F31"/>
    <w:rsid w:val="000B7321"/>
    <w:rsid w:val="000D13F9"/>
    <w:rsid w:val="000D6754"/>
    <w:rsid w:val="000D712F"/>
    <w:rsid w:val="000E27B9"/>
    <w:rsid w:val="000F20B1"/>
    <w:rsid w:val="000F2745"/>
    <w:rsid w:val="000F40B8"/>
    <w:rsid w:val="000F70C9"/>
    <w:rsid w:val="00100B35"/>
    <w:rsid w:val="00113895"/>
    <w:rsid w:val="00123645"/>
    <w:rsid w:val="001239B3"/>
    <w:rsid w:val="00123B91"/>
    <w:rsid w:val="0012611E"/>
    <w:rsid w:val="00126382"/>
    <w:rsid w:val="0013132B"/>
    <w:rsid w:val="00137633"/>
    <w:rsid w:val="00147039"/>
    <w:rsid w:val="0015633F"/>
    <w:rsid w:val="00166715"/>
    <w:rsid w:val="0017246D"/>
    <w:rsid w:val="001768C3"/>
    <w:rsid w:val="00184071"/>
    <w:rsid w:val="001941BA"/>
    <w:rsid w:val="00194417"/>
    <w:rsid w:val="001B4FEC"/>
    <w:rsid w:val="001B5FC1"/>
    <w:rsid w:val="001D6642"/>
    <w:rsid w:val="001F58D0"/>
    <w:rsid w:val="001F6BF2"/>
    <w:rsid w:val="00210631"/>
    <w:rsid w:val="00215E2F"/>
    <w:rsid w:val="002225D8"/>
    <w:rsid w:val="002246E6"/>
    <w:rsid w:val="00232F82"/>
    <w:rsid w:val="00234632"/>
    <w:rsid w:val="002419C7"/>
    <w:rsid w:val="00243360"/>
    <w:rsid w:val="002442EC"/>
    <w:rsid w:val="00260D6E"/>
    <w:rsid w:val="002673F6"/>
    <w:rsid w:val="002734E6"/>
    <w:rsid w:val="00280750"/>
    <w:rsid w:val="00285EC4"/>
    <w:rsid w:val="0029184E"/>
    <w:rsid w:val="00291A88"/>
    <w:rsid w:val="00294601"/>
    <w:rsid w:val="002B0847"/>
    <w:rsid w:val="002B220A"/>
    <w:rsid w:val="002B4FF6"/>
    <w:rsid w:val="002D2857"/>
    <w:rsid w:val="002D4A7A"/>
    <w:rsid w:val="002D5D27"/>
    <w:rsid w:val="002E1529"/>
    <w:rsid w:val="00302C53"/>
    <w:rsid w:val="003047BA"/>
    <w:rsid w:val="00307860"/>
    <w:rsid w:val="003276B6"/>
    <w:rsid w:val="00332B9E"/>
    <w:rsid w:val="00336BCC"/>
    <w:rsid w:val="00343DA5"/>
    <w:rsid w:val="00353323"/>
    <w:rsid w:val="00362467"/>
    <w:rsid w:val="00366859"/>
    <w:rsid w:val="00372285"/>
    <w:rsid w:val="0037413B"/>
    <w:rsid w:val="003743D5"/>
    <w:rsid w:val="00376BA7"/>
    <w:rsid w:val="003812B6"/>
    <w:rsid w:val="00384973"/>
    <w:rsid w:val="00390612"/>
    <w:rsid w:val="003A23E8"/>
    <w:rsid w:val="003B1E34"/>
    <w:rsid w:val="003B2230"/>
    <w:rsid w:val="003B608C"/>
    <w:rsid w:val="003C2D9B"/>
    <w:rsid w:val="003C2ED0"/>
    <w:rsid w:val="003C64A6"/>
    <w:rsid w:val="003C7C7B"/>
    <w:rsid w:val="003D6884"/>
    <w:rsid w:val="003D6B26"/>
    <w:rsid w:val="003E09D1"/>
    <w:rsid w:val="003E11EB"/>
    <w:rsid w:val="003E2DA6"/>
    <w:rsid w:val="003E4660"/>
    <w:rsid w:val="003F0239"/>
    <w:rsid w:val="003F0707"/>
    <w:rsid w:val="003F3C71"/>
    <w:rsid w:val="00402386"/>
    <w:rsid w:val="00407A93"/>
    <w:rsid w:val="00414A54"/>
    <w:rsid w:val="00416834"/>
    <w:rsid w:val="0042062C"/>
    <w:rsid w:val="00423574"/>
    <w:rsid w:val="00424D7D"/>
    <w:rsid w:val="0042734E"/>
    <w:rsid w:val="0043720C"/>
    <w:rsid w:val="00441B61"/>
    <w:rsid w:val="0044211C"/>
    <w:rsid w:val="00444B51"/>
    <w:rsid w:val="00450720"/>
    <w:rsid w:val="00452259"/>
    <w:rsid w:val="00454F81"/>
    <w:rsid w:val="0045520F"/>
    <w:rsid w:val="00456BB6"/>
    <w:rsid w:val="004602C3"/>
    <w:rsid w:val="004604E2"/>
    <w:rsid w:val="00460A92"/>
    <w:rsid w:val="00466FBE"/>
    <w:rsid w:val="004704C1"/>
    <w:rsid w:val="004809D5"/>
    <w:rsid w:val="004855FA"/>
    <w:rsid w:val="00494B8C"/>
    <w:rsid w:val="004B0B09"/>
    <w:rsid w:val="004B2F98"/>
    <w:rsid w:val="004B42BD"/>
    <w:rsid w:val="004C4EF8"/>
    <w:rsid w:val="004D1A8F"/>
    <w:rsid w:val="004D2C94"/>
    <w:rsid w:val="004D4912"/>
    <w:rsid w:val="004E165B"/>
    <w:rsid w:val="004E1E4F"/>
    <w:rsid w:val="004E6B52"/>
    <w:rsid w:val="005050E6"/>
    <w:rsid w:val="00514840"/>
    <w:rsid w:val="005256C3"/>
    <w:rsid w:val="0053204A"/>
    <w:rsid w:val="00546168"/>
    <w:rsid w:val="00552711"/>
    <w:rsid w:val="005601D5"/>
    <w:rsid w:val="0056098D"/>
    <w:rsid w:val="00571CED"/>
    <w:rsid w:val="00573654"/>
    <w:rsid w:val="00574D03"/>
    <w:rsid w:val="005829A4"/>
    <w:rsid w:val="00585C3B"/>
    <w:rsid w:val="005907FA"/>
    <w:rsid w:val="0059687D"/>
    <w:rsid w:val="00597C99"/>
    <w:rsid w:val="005A0A82"/>
    <w:rsid w:val="005A2E5F"/>
    <w:rsid w:val="005C412C"/>
    <w:rsid w:val="005D03D6"/>
    <w:rsid w:val="005D3B11"/>
    <w:rsid w:val="005D4C63"/>
    <w:rsid w:val="005D7FD3"/>
    <w:rsid w:val="005F2F89"/>
    <w:rsid w:val="00600C6C"/>
    <w:rsid w:val="00604E10"/>
    <w:rsid w:val="0061099C"/>
    <w:rsid w:val="00615AC5"/>
    <w:rsid w:val="00624B96"/>
    <w:rsid w:val="006273E1"/>
    <w:rsid w:val="006372A1"/>
    <w:rsid w:val="006400F1"/>
    <w:rsid w:val="006455E5"/>
    <w:rsid w:val="00646FFB"/>
    <w:rsid w:val="006512CA"/>
    <w:rsid w:val="006568FD"/>
    <w:rsid w:val="0066770B"/>
    <w:rsid w:val="00671121"/>
    <w:rsid w:val="006728D7"/>
    <w:rsid w:val="0067560F"/>
    <w:rsid w:val="006756CC"/>
    <w:rsid w:val="00676AA7"/>
    <w:rsid w:val="00680BDC"/>
    <w:rsid w:val="00683DC5"/>
    <w:rsid w:val="006924AC"/>
    <w:rsid w:val="00695FEB"/>
    <w:rsid w:val="006A22B8"/>
    <w:rsid w:val="006A65D2"/>
    <w:rsid w:val="006A73F7"/>
    <w:rsid w:val="006D656B"/>
    <w:rsid w:val="006F602A"/>
    <w:rsid w:val="006F62D2"/>
    <w:rsid w:val="00701661"/>
    <w:rsid w:val="0070794B"/>
    <w:rsid w:val="00712527"/>
    <w:rsid w:val="00720FD2"/>
    <w:rsid w:val="007307EF"/>
    <w:rsid w:val="00736FF9"/>
    <w:rsid w:val="00741A8F"/>
    <w:rsid w:val="00742A3C"/>
    <w:rsid w:val="00744CA3"/>
    <w:rsid w:val="00745FD7"/>
    <w:rsid w:val="0075036E"/>
    <w:rsid w:val="0075490F"/>
    <w:rsid w:val="00762B84"/>
    <w:rsid w:val="0077080F"/>
    <w:rsid w:val="00781865"/>
    <w:rsid w:val="00781B65"/>
    <w:rsid w:val="00792C46"/>
    <w:rsid w:val="00794099"/>
    <w:rsid w:val="007963D3"/>
    <w:rsid w:val="007B3B32"/>
    <w:rsid w:val="007B64A0"/>
    <w:rsid w:val="007B69CB"/>
    <w:rsid w:val="007D080B"/>
    <w:rsid w:val="007D1272"/>
    <w:rsid w:val="007D5A1C"/>
    <w:rsid w:val="007E2883"/>
    <w:rsid w:val="007F00E7"/>
    <w:rsid w:val="007F1891"/>
    <w:rsid w:val="007F7C88"/>
    <w:rsid w:val="00816C66"/>
    <w:rsid w:val="0083054E"/>
    <w:rsid w:val="00836E0E"/>
    <w:rsid w:val="00871FF7"/>
    <w:rsid w:val="00886945"/>
    <w:rsid w:val="008A0590"/>
    <w:rsid w:val="008A49A6"/>
    <w:rsid w:val="008A6376"/>
    <w:rsid w:val="008B6A8F"/>
    <w:rsid w:val="008C1BB5"/>
    <w:rsid w:val="008C5550"/>
    <w:rsid w:val="008D23DD"/>
    <w:rsid w:val="008D3CCC"/>
    <w:rsid w:val="008E6E16"/>
    <w:rsid w:val="008F4976"/>
    <w:rsid w:val="008F49F0"/>
    <w:rsid w:val="00904220"/>
    <w:rsid w:val="00920C18"/>
    <w:rsid w:val="00930339"/>
    <w:rsid w:val="009366EC"/>
    <w:rsid w:val="009379D9"/>
    <w:rsid w:val="00937A63"/>
    <w:rsid w:val="0094631E"/>
    <w:rsid w:val="00951AE8"/>
    <w:rsid w:val="00952E3B"/>
    <w:rsid w:val="00964A54"/>
    <w:rsid w:val="009759CF"/>
    <w:rsid w:val="00982513"/>
    <w:rsid w:val="00982EC7"/>
    <w:rsid w:val="00987ADA"/>
    <w:rsid w:val="00993607"/>
    <w:rsid w:val="009A1B26"/>
    <w:rsid w:val="009B03A6"/>
    <w:rsid w:val="009B2080"/>
    <w:rsid w:val="009B4E95"/>
    <w:rsid w:val="009C7ACA"/>
    <w:rsid w:val="009D232A"/>
    <w:rsid w:val="009E15F2"/>
    <w:rsid w:val="009E6C23"/>
    <w:rsid w:val="009F262B"/>
    <w:rsid w:val="009F591B"/>
    <w:rsid w:val="00A12F25"/>
    <w:rsid w:val="00A27812"/>
    <w:rsid w:val="00A30BDD"/>
    <w:rsid w:val="00A33581"/>
    <w:rsid w:val="00A40370"/>
    <w:rsid w:val="00A47CBA"/>
    <w:rsid w:val="00A61A2B"/>
    <w:rsid w:val="00A62ECE"/>
    <w:rsid w:val="00A741BD"/>
    <w:rsid w:val="00A8188F"/>
    <w:rsid w:val="00A85363"/>
    <w:rsid w:val="00A869F0"/>
    <w:rsid w:val="00A86AF6"/>
    <w:rsid w:val="00AA1DD9"/>
    <w:rsid w:val="00AA3AA0"/>
    <w:rsid w:val="00AA43C2"/>
    <w:rsid w:val="00AB1541"/>
    <w:rsid w:val="00AB195D"/>
    <w:rsid w:val="00AC48F7"/>
    <w:rsid w:val="00AC4C55"/>
    <w:rsid w:val="00AD4C58"/>
    <w:rsid w:val="00AE417C"/>
    <w:rsid w:val="00AF0F00"/>
    <w:rsid w:val="00AF6C18"/>
    <w:rsid w:val="00B10EBF"/>
    <w:rsid w:val="00B211EF"/>
    <w:rsid w:val="00B2339F"/>
    <w:rsid w:val="00B26F6F"/>
    <w:rsid w:val="00B33F8B"/>
    <w:rsid w:val="00B34726"/>
    <w:rsid w:val="00B35A38"/>
    <w:rsid w:val="00B46EC1"/>
    <w:rsid w:val="00B5373F"/>
    <w:rsid w:val="00B671FF"/>
    <w:rsid w:val="00B67B38"/>
    <w:rsid w:val="00B70915"/>
    <w:rsid w:val="00B70B18"/>
    <w:rsid w:val="00B76748"/>
    <w:rsid w:val="00B826C3"/>
    <w:rsid w:val="00B82B60"/>
    <w:rsid w:val="00B92B47"/>
    <w:rsid w:val="00BB2DC3"/>
    <w:rsid w:val="00BC138C"/>
    <w:rsid w:val="00BC1DCD"/>
    <w:rsid w:val="00BC3166"/>
    <w:rsid w:val="00BC59A4"/>
    <w:rsid w:val="00BD6D64"/>
    <w:rsid w:val="00BD6FDA"/>
    <w:rsid w:val="00BD79CA"/>
    <w:rsid w:val="00BE6C84"/>
    <w:rsid w:val="00BF3AF0"/>
    <w:rsid w:val="00BF50FA"/>
    <w:rsid w:val="00C011EC"/>
    <w:rsid w:val="00C024D6"/>
    <w:rsid w:val="00C027B1"/>
    <w:rsid w:val="00C0586E"/>
    <w:rsid w:val="00C10456"/>
    <w:rsid w:val="00C16DBF"/>
    <w:rsid w:val="00C21843"/>
    <w:rsid w:val="00C30C35"/>
    <w:rsid w:val="00C318B7"/>
    <w:rsid w:val="00C438A9"/>
    <w:rsid w:val="00C52BED"/>
    <w:rsid w:val="00C5783A"/>
    <w:rsid w:val="00C6192E"/>
    <w:rsid w:val="00C62687"/>
    <w:rsid w:val="00C64F84"/>
    <w:rsid w:val="00C84835"/>
    <w:rsid w:val="00C90244"/>
    <w:rsid w:val="00C90F4E"/>
    <w:rsid w:val="00C93E67"/>
    <w:rsid w:val="00CA7B01"/>
    <w:rsid w:val="00CB5C23"/>
    <w:rsid w:val="00CB5F66"/>
    <w:rsid w:val="00CC44EE"/>
    <w:rsid w:val="00CC4528"/>
    <w:rsid w:val="00CC5831"/>
    <w:rsid w:val="00CC65E7"/>
    <w:rsid w:val="00CD2833"/>
    <w:rsid w:val="00CD2ACC"/>
    <w:rsid w:val="00CD399B"/>
    <w:rsid w:val="00CE595B"/>
    <w:rsid w:val="00CF02BC"/>
    <w:rsid w:val="00CF31EC"/>
    <w:rsid w:val="00CF5B9B"/>
    <w:rsid w:val="00D01A32"/>
    <w:rsid w:val="00D03843"/>
    <w:rsid w:val="00D04F6B"/>
    <w:rsid w:val="00D10AFC"/>
    <w:rsid w:val="00D12F4F"/>
    <w:rsid w:val="00D155A4"/>
    <w:rsid w:val="00D20990"/>
    <w:rsid w:val="00D304F1"/>
    <w:rsid w:val="00D36215"/>
    <w:rsid w:val="00D45D4C"/>
    <w:rsid w:val="00D46034"/>
    <w:rsid w:val="00D5710F"/>
    <w:rsid w:val="00D5713E"/>
    <w:rsid w:val="00D7745E"/>
    <w:rsid w:val="00D97D51"/>
    <w:rsid w:val="00DB23F5"/>
    <w:rsid w:val="00DB2AB3"/>
    <w:rsid w:val="00DD1746"/>
    <w:rsid w:val="00DD63F4"/>
    <w:rsid w:val="00DD6BCB"/>
    <w:rsid w:val="00DE1776"/>
    <w:rsid w:val="00DE2EE8"/>
    <w:rsid w:val="00DE4AA5"/>
    <w:rsid w:val="00DF17CC"/>
    <w:rsid w:val="00DF4C40"/>
    <w:rsid w:val="00E01ADF"/>
    <w:rsid w:val="00E04264"/>
    <w:rsid w:val="00E06D0C"/>
    <w:rsid w:val="00E31565"/>
    <w:rsid w:val="00E33862"/>
    <w:rsid w:val="00E37A40"/>
    <w:rsid w:val="00E42EFF"/>
    <w:rsid w:val="00E43103"/>
    <w:rsid w:val="00E603E0"/>
    <w:rsid w:val="00E6146C"/>
    <w:rsid w:val="00E656D0"/>
    <w:rsid w:val="00E70164"/>
    <w:rsid w:val="00E7358A"/>
    <w:rsid w:val="00E75C33"/>
    <w:rsid w:val="00E76546"/>
    <w:rsid w:val="00EA16D9"/>
    <w:rsid w:val="00EA1782"/>
    <w:rsid w:val="00EA4516"/>
    <w:rsid w:val="00EC03D9"/>
    <w:rsid w:val="00EC0A6C"/>
    <w:rsid w:val="00ED0294"/>
    <w:rsid w:val="00ED6464"/>
    <w:rsid w:val="00EF10AC"/>
    <w:rsid w:val="00F04EF3"/>
    <w:rsid w:val="00F0752C"/>
    <w:rsid w:val="00F10438"/>
    <w:rsid w:val="00F30804"/>
    <w:rsid w:val="00F4244E"/>
    <w:rsid w:val="00F46BF1"/>
    <w:rsid w:val="00F50481"/>
    <w:rsid w:val="00F76F60"/>
    <w:rsid w:val="00F83AAC"/>
    <w:rsid w:val="00F84299"/>
    <w:rsid w:val="00F87DF4"/>
    <w:rsid w:val="00F94A44"/>
    <w:rsid w:val="00F96D89"/>
    <w:rsid w:val="00FB19A5"/>
    <w:rsid w:val="00FB1B83"/>
    <w:rsid w:val="00FB2078"/>
    <w:rsid w:val="00FB591D"/>
    <w:rsid w:val="00FC54B0"/>
    <w:rsid w:val="00FE09C0"/>
    <w:rsid w:val="00FE2E55"/>
    <w:rsid w:val="00FE520B"/>
    <w:rsid w:val="00FE7E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3097"/>
  <w15:chartTrackingRefBased/>
  <w15:docId w15:val="{4D9E53E0-9B6E-4216-93A7-DD3129FB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
    <w:name w:val="Pa10"/>
    <w:basedOn w:val="Normal"/>
    <w:next w:val="Normal"/>
    <w:uiPriority w:val="99"/>
    <w:rsid w:val="00DF4C40"/>
    <w:pPr>
      <w:autoSpaceDE w:val="0"/>
      <w:autoSpaceDN w:val="0"/>
      <w:adjustRightInd w:val="0"/>
      <w:spacing w:after="0" w:line="181" w:lineRule="atLeast"/>
    </w:pPr>
    <w:rPr>
      <w:rFonts w:ascii="Caecilia LT Std Light" w:hAnsi="Caecilia LT Std Light"/>
      <w:sz w:val="24"/>
      <w:szCs w:val="24"/>
    </w:rPr>
  </w:style>
  <w:style w:type="paragraph" w:customStyle="1" w:styleId="Pa12">
    <w:name w:val="Pa12"/>
    <w:basedOn w:val="Normal"/>
    <w:next w:val="Normal"/>
    <w:uiPriority w:val="99"/>
    <w:rsid w:val="00DF4C40"/>
    <w:pPr>
      <w:autoSpaceDE w:val="0"/>
      <w:autoSpaceDN w:val="0"/>
      <w:adjustRightInd w:val="0"/>
      <w:spacing w:after="0" w:line="181" w:lineRule="atLeast"/>
    </w:pPr>
    <w:rPr>
      <w:rFonts w:ascii="Caecilia LT Std Light" w:hAnsi="Caecilia LT Std Light"/>
      <w:sz w:val="24"/>
      <w:szCs w:val="24"/>
    </w:rPr>
  </w:style>
  <w:style w:type="paragraph" w:styleId="Title">
    <w:name w:val="Title"/>
    <w:basedOn w:val="Normal"/>
    <w:link w:val="TitleChar"/>
    <w:uiPriority w:val="1"/>
    <w:qFormat/>
    <w:rsid w:val="006A73F7"/>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6A73F7"/>
    <w:rPr>
      <w:rFonts w:asciiTheme="majorHAnsi" w:eastAsiaTheme="majorEastAsia" w:hAnsiTheme="majorHAnsi" w:cstheme="majorBidi"/>
      <w:sz w:val="56"/>
      <w:szCs w:val="56"/>
      <w:lang w:val="en-US" w:eastAsia="ja-JP"/>
    </w:rPr>
  </w:style>
  <w:style w:type="paragraph" w:customStyle="1" w:styleId="Pa16">
    <w:name w:val="Pa16"/>
    <w:basedOn w:val="Normal"/>
    <w:next w:val="Normal"/>
    <w:uiPriority w:val="99"/>
    <w:rsid w:val="0013132B"/>
    <w:pPr>
      <w:autoSpaceDE w:val="0"/>
      <w:autoSpaceDN w:val="0"/>
      <w:adjustRightInd w:val="0"/>
      <w:spacing w:after="0" w:line="191" w:lineRule="atLeast"/>
    </w:pPr>
    <w:rPr>
      <w:rFonts w:ascii="HelveticaNeueLT Std" w:hAnsi="HelveticaNeueLT Std"/>
      <w:sz w:val="24"/>
      <w:szCs w:val="24"/>
    </w:rPr>
  </w:style>
  <w:style w:type="paragraph" w:customStyle="1" w:styleId="Pa20">
    <w:name w:val="Pa20"/>
    <w:basedOn w:val="Normal"/>
    <w:next w:val="Normal"/>
    <w:uiPriority w:val="99"/>
    <w:rsid w:val="0013132B"/>
    <w:pPr>
      <w:autoSpaceDE w:val="0"/>
      <w:autoSpaceDN w:val="0"/>
      <w:adjustRightInd w:val="0"/>
      <w:spacing w:after="0" w:line="191" w:lineRule="atLeast"/>
    </w:pPr>
    <w:rPr>
      <w:rFonts w:ascii="HelveticaNeueLT Std" w:hAnsi="HelveticaNeueLT Std"/>
      <w:sz w:val="24"/>
      <w:szCs w:val="24"/>
    </w:rPr>
  </w:style>
  <w:style w:type="paragraph" w:styleId="BalloonText">
    <w:name w:val="Balloon Text"/>
    <w:basedOn w:val="Normal"/>
    <w:link w:val="BalloonTextChar"/>
    <w:uiPriority w:val="99"/>
    <w:semiHidden/>
    <w:unhideWhenUsed/>
    <w:rsid w:val="0041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34"/>
    <w:rPr>
      <w:rFonts w:ascii="Segoe UI" w:hAnsi="Segoe UI" w:cs="Segoe UI"/>
      <w:sz w:val="18"/>
      <w:szCs w:val="18"/>
    </w:rPr>
  </w:style>
  <w:style w:type="character" w:styleId="CommentReference">
    <w:name w:val="annotation reference"/>
    <w:basedOn w:val="DefaultParagraphFont"/>
    <w:uiPriority w:val="99"/>
    <w:semiHidden/>
    <w:unhideWhenUsed/>
    <w:rsid w:val="00126382"/>
    <w:rPr>
      <w:sz w:val="16"/>
      <w:szCs w:val="16"/>
    </w:rPr>
  </w:style>
  <w:style w:type="paragraph" w:styleId="CommentText">
    <w:name w:val="annotation text"/>
    <w:basedOn w:val="Normal"/>
    <w:link w:val="CommentTextChar"/>
    <w:uiPriority w:val="99"/>
    <w:semiHidden/>
    <w:unhideWhenUsed/>
    <w:rsid w:val="00126382"/>
    <w:pPr>
      <w:spacing w:line="240" w:lineRule="auto"/>
    </w:pPr>
    <w:rPr>
      <w:sz w:val="20"/>
      <w:szCs w:val="20"/>
    </w:rPr>
  </w:style>
  <w:style w:type="character" w:customStyle="1" w:styleId="CommentTextChar">
    <w:name w:val="Comment Text Char"/>
    <w:basedOn w:val="DefaultParagraphFont"/>
    <w:link w:val="CommentText"/>
    <w:uiPriority w:val="99"/>
    <w:semiHidden/>
    <w:rsid w:val="00126382"/>
    <w:rPr>
      <w:sz w:val="20"/>
      <w:szCs w:val="20"/>
    </w:rPr>
  </w:style>
  <w:style w:type="paragraph" w:styleId="CommentSubject">
    <w:name w:val="annotation subject"/>
    <w:basedOn w:val="CommentText"/>
    <w:next w:val="CommentText"/>
    <w:link w:val="CommentSubjectChar"/>
    <w:uiPriority w:val="99"/>
    <w:semiHidden/>
    <w:unhideWhenUsed/>
    <w:rsid w:val="00126382"/>
    <w:rPr>
      <w:b/>
      <w:bCs/>
    </w:rPr>
  </w:style>
  <w:style w:type="character" w:customStyle="1" w:styleId="CommentSubjectChar">
    <w:name w:val="Comment Subject Char"/>
    <w:basedOn w:val="CommentTextChar"/>
    <w:link w:val="CommentSubject"/>
    <w:uiPriority w:val="99"/>
    <w:semiHidden/>
    <w:rsid w:val="00126382"/>
    <w:rPr>
      <w:b/>
      <w:bCs/>
      <w:sz w:val="20"/>
      <w:szCs w:val="20"/>
    </w:rPr>
  </w:style>
  <w:style w:type="paragraph" w:styleId="Header">
    <w:name w:val="header"/>
    <w:basedOn w:val="Normal"/>
    <w:link w:val="HeaderChar"/>
    <w:uiPriority w:val="99"/>
    <w:unhideWhenUsed/>
    <w:rsid w:val="00126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382"/>
  </w:style>
  <w:style w:type="paragraph" w:styleId="Footer">
    <w:name w:val="footer"/>
    <w:basedOn w:val="Normal"/>
    <w:link w:val="FooterChar"/>
    <w:uiPriority w:val="99"/>
    <w:unhideWhenUsed/>
    <w:rsid w:val="00126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382"/>
  </w:style>
  <w:style w:type="paragraph" w:customStyle="1" w:styleId="Body">
    <w:name w:val="Body"/>
    <w:rsid w:val="00E33862"/>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ListParagraph">
    <w:name w:val="List Paragraph"/>
    <w:basedOn w:val="Normal"/>
    <w:uiPriority w:val="34"/>
    <w:qFormat/>
    <w:rsid w:val="004B0B09"/>
    <w:pPr>
      <w:ind w:left="720"/>
      <w:contextualSpacing/>
    </w:pPr>
  </w:style>
  <w:style w:type="paragraph" w:styleId="Revision">
    <w:name w:val="Revision"/>
    <w:hidden/>
    <w:uiPriority w:val="99"/>
    <w:semiHidden/>
    <w:rsid w:val="007D08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4977">
      <w:bodyDiv w:val="1"/>
      <w:marLeft w:val="0"/>
      <w:marRight w:val="0"/>
      <w:marTop w:val="0"/>
      <w:marBottom w:val="0"/>
      <w:divBdr>
        <w:top w:val="none" w:sz="0" w:space="0" w:color="auto"/>
        <w:left w:val="none" w:sz="0" w:space="0" w:color="auto"/>
        <w:bottom w:val="none" w:sz="0" w:space="0" w:color="auto"/>
        <w:right w:val="none" w:sz="0" w:space="0" w:color="auto"/>
      </w:divBdr>
    </w:div>
    <w:div w:id="599683512">
      <w:bodyDiv w:val="1"/>
      <w:marLeft w:val="0"/>
      <w:marRight w:val="0"/>
      <w:marTop w:val="0"/>
      <w:marBottom w:val="0"/>
      <w:divBdr>
        <w:top w:val="none" w:sz="0" w:space="0" w:color="auto"/>
        <w:left w:val="none" w:sz="0" w:space="0" w:color="auto"/>
        <w:bottom w:val="none" w:sz="0" w:space="0" w:color="auto"/>
        <w:right w:val="none" w:sz="0" w:space="0" w:color="auto"/>
      </w:divBdr>
    </w:div>
    <w:div w:id="976296534">
      <w:bodyDiv w:val="1"/>
      <w:marLeft w:val="0"/>
      <w:marRight w:val="0"/>
      <w:marTop w:val="0"/>
      <w:marBottom w:val="0"/>
      <w:divBdr>
        <w:top w:val="none" w:sz="0" w:space="0" w:color="auto"/>
        <w:left w:val="none" w:sz="0" w:space="0" w:color="auto"/>
        <w:bottom w:val="none" w:sz="0" w:space="0" w:color="auto"/>
        <w:right w:val="none" w:sz="0" w:space="0" w:color="auto"/>
      </w:divBdr>
    </w:div>
    <w:div w:id="1963806478">
      <w:bodyDiv w:val="1"/>
      <w:marLeft w:val="0"/>
      <w:marRight w:val="0"/>
      <w:marTop w:val="0"/>
      <w:marBottom w:val="0"/>
      <w:divBdr>
        <w:top w:val="none" w:sz="0" w:space="0" w:color="auto"/>
        <w:left w:val="none" w:sz="0" w:space="0" w:color="auto"/>
        <w:bottom w:val="none" w:sz="0" w:space="0" w:color="auto"/>
        <w:right w:val="none" w:sz="0" w:space="0" w:color="auto"/>
      </w:divBdr>
    </w:div>
    <w:div w:id="19822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[Milestone.03.01.18.xlsx_ (002).xlsx]Analysis-chart-AOF!PivotTable3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MILESTONE RATING PER AOF</a:t>
            </a:r>
          </a:p>
        </c:rich>
      </c:tx>
      <c:layout>
        <c:manualLayout>
          <c:xMode val="edge"/>
          <c:yMode val="edge"/>
          <c:x val="0.32225083986424563"/>
          <c:y val="0.12796127756757678"/>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ivotFmts>
      <c:pivotFmt>
        <c:idx val="0"/>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pivotFmt>
      <c:pivotFmt>
        <c:idx val="9"/>
      </c:pivotFmt>
      <c:pivotFmt>
        <c:idx val="10"/>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rgbClr val="FFFF00"/>
          </a:solidFill>
          <a:ln>
            <a:noFill/>
          </a:ln>
          <a:effectLst>
            <a:outerShdw blurRad="57150" dist="19050" dir="5400000" algn="ctr" rotWithShape="0">
              <a:srgbClr val="000000">
                <a:alpha val="63000"/>
              </a:srgbClr>
            </a:outerShdw>
          </a:effectLst>
          <a:sp3d/>
        </c:spPr>
      </c:pivotFmt>
      <c:pivotFmt>
        <c:idx val="13"/>
        <c:spPr>
          <a:solidFill>
            <a:srgbClr val="FFFF00"/>
          </a:solidFill>
          <a:ln>
            <a:noFill/>
          </a:ln>
          <a:effectLst>
            <a:outerShdw blurRad="57150" dist="19050" dir="5400000" algn="ctr" rotWithShape="0">
              <a:srgbClr val="000000">
                <a:alpha val="63000"/>
              </a:srgbClr>
            </a:outerShdw>
          </a:effectLst>
          <a:sp3d/>
        </c:spPr>
      </c:pivotFmt>
      <c:pivotFmt>
        <c:idx val="14"/>
        <c:spPr>
          <a:solidFill>
            <a:srgbClr val="FFFF00"/>
          </a:solidFill>
          <a:ln>
            <a:noFill/>
          </a:ln>
          <a:effectLst>
            <a:outerShdw blurRad="57150" dist="19050" dir="5400000" algn="ctr" rotWithShape="0">
              <a:srgbClr val="000000">
                <a:alpha val="63000"/>
              </a:srgbClr>
            </a:outerShdw>
          </a:effectLst>
          <a:sp3d/>
        </c:spPr>
      </c:pivotFmt>
      <c:pivotFmt>
        <c:idx val="15"/>
        <c:spPr>
          <a:solidFill>
            <a:srgbClr val="FFC000"/>
          </a:solidFill>
          <a:ln>
            <a:noFill/>
          </a:ln>
          <a:effectLst>
            <a:outerShdw blurRad="57150" dist="19050" dir="5400000" algn="ctr" rotWithShape="0">
              <a:srgbClr val="000000">
                <a:alpha val="63000"/>
              </a:srgbClr>
            </a:outerShdw>
          </a:effectLst>
          <a:sp3d/>
        </c:spPr>
      </c:pivotFmt>
      <c:pivotFmt>
        <c:idx val="16"/>
        <c:spPr>
          <a:solidFill>
            <a:srgbClr val="FFFF00"/>
          </a:solidFill>
          <a:ln>
            <a:noFill/>
          </a:ln>
          <a:effectLst>
            <a:outerShdw blurRad="57150" dist="19050" dir="5400000" algn="ctr" rotWithShape="0">
              <a:srgbClr val="000000">
                <a:alpha val="63000"/>
              </a:srgbClr>
            </a:outerShdw>
          </a:effectLst>
          <a:sp3d/>
        </c:spPr>
      </c:pivotFmt>
      <c:pivotFmt>
        <c:idx val="17"/>
        <c:spPr>
          <a:solidFill>
            <a:srgbClr val="FFFF00"/>
          </a:solidFill>
          <a:ln>
            <a:noFill/>
          </a:ln>
          <a:effectLst>
            <a:outerShdw blurRad="57150" dist="19050" dir="5400000" algn="ctr" rotWithShape="0">
              <a:srgbClr val="000000">
                <a:alpha val="63000"/>
              </a:srgbClr>
            </a:outerShdw>
          </a:effectLst>
          <a:sp3d/>
        </c:spPr>
      </c:pivotFmt>
      <c:pivotFmt>
        <c:idx val="18"/>
        <c:spPr>
          <a:solidFill>
            <a:srgbClr val="FFFF00"/>
          </a:solidFill>
          <a:ln>
            <a:noFill/>
          </a:ln>
          <a:effectLst>
            <a:outerShdw blurRad="57150" dist="19050" dir="5400000" algn="ctr" rotWithShape="0">
              <a:srgbClr val="000000">
                <a:alpha val="63000"/>
              </a:srgbClr>
            </a:outerShdw>
          </a:effectLst>
          <a:sp3d/>
        </c:spPr>
      </c:pivotFmt>
      <c:pivotFmt>
        <c:idx val="19"/>
        <c:spPr>
          <a:solidFill>
            <a:srgbClr val="FFFF00"/>
          </a:soli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C000"/>
          </a:solidFill>
          <a:ln>
            <a:noFill/>
          </a:ln>
          <a:effectLst>
            <a:outerShdw blurRad="57150" dist="19050" dir="5400000" algn="ctr" rotWithShape="0">
              <a:srgbClr val="000000">
                <a:alpha val="63000"/>
              </a:srgbClr>
            </a:outerShdw>
          </a:effectLst>
          <a:sp3d/>
        </c:spPr>
      </c:pivotFmt>
      <c:pivotFmt>
        <c:idx val="22"/>
        <c:spPr>
          <a:solidFill>
            <a:srgbClr val="FFFF00"/>
          </a:solidFill>
          <a:ln>
            <a:noFill/>
          </a:ln>
          <a:effectLst>
            <a:outerShdw blurRad="57150" dist="19050" dir="5400000" algn="ctr" rotWithShape="0">
              <a:srgbClr val="000000">
                <a:alpha val="63000"/>
              </a:srgbClr>
            </a:outerShdw>
          </a:effectLst>
          <a:sp3d/>
        </c:spPr>
      </c:pivotFmt>
      <c:pivotFmt>
        <c:idx val="23"/>
        <c:spPr>
          <a:solidFill>
            <a:srgbClr val="FFFF00"/>
          </a:solidFill>
          <a:ln>
            <a:noFill/>
          </a:ln>
          <a:effectLst>
            <a:outerShdw blurRad="57150" dist="19050" dir="5400000" algn="ctr" rotWithShape="0">
              <a:srgbClr val="000000">
                <a:alpha val="63000"/>
              </a:srgbClr>
            </a:outerShdw>
          </a:effectLst>
          <a:sp3d/>
        </c:spPr>
      </c:pivotFmt>
      <c:pivotFmt>
        <c:idx val="24"/>
        <c:spPr>
          <a:solidFill>
            <a:srgbClr val="FFFF00"/>
          </a:solidFill>
          <a:ln>
            <a:noFill/>
          </a:ln>
          <a:effectLst>
            <a:outerShdw blurRad="57150" dist="19050" dir="5400000" algn="ctr" rotWithShape="0">
              <a:srgbClr val="000000">
                <a:alpha val="63000"/>
              </a:srgbClr>
            </a:outerShdw>
          </a:effectLst>
          <a:sp3d/>
        </c:spPr>
      </c:pivotFmt>
      <c:pivotFmt>
        <c:idx val="25"/>
        <c:spPr>
          <a:solidFill>
            <a:srgbClr val="FFFF00"/>
          </a:solidFill>
          <a:ln>
            <a:noFill/>
          </a:ln>
          <a:effectLst>
            <a:outerShdw blurRad="57150" dist="19050" dir="5400000" algn="ctr" rotWithShape="0">
              <a:srgbClr val="000000">
                <a:alpha val="63000"/>
              </a:srgbClr>
            </a:outerShdw>
          </a:effectLst>
          <a:sp3d/>
        </c:spPr>
      </c:pivotFmt>
      <c:pivotFmt>
        <c:idx val="26"/>
        <c:spPr>
          <a:solidFill>
            <a:srgbClr val="FFFF00"/>
          </a:solidFill>
          <a:ln>
            <a:noFill/>
          </a:ln>
          <a:effectLst>
            <a:outerShdw blurRad="57150" dist="19050" dir="5400000" algn="ctr" rotWithShape="0">
              <a:srgbClr val="000000">
                <a:alpha val="63000"/>
              </a:srgbClr>
            </a:outerShdw>
          </a:effectLst>
          <a:sp3d/>
        </c:spPr>
      </c:pivotFmt>
      <c:pivotFmt>
        <c:idx val="27"/>
        <c:spPr>
          <a:solidFill>
            <a:srgbClr val="FFFF00"/>
          </a:solidFill>
          <a:ln>
            <a:noFill/>
          </a:ln>
          <a:effectLst>
            <a:outerShdw blurRad="57150" dist="19050" dir="5400000" algn="ctr" rotWithShape="0">
              <a:srgbClr val="000000">
                <a:alpha val="63000"/>
              </a:srgbClr>
            </a:outerShdw>
          </a:effectLst>
          <a:sp3d/>
        </c:spPr>
      </c:pivotFmt>
      <c:pivotFmt>
        <c:idx val="28"/>
        <c:spPr>
          <a:solidFill>
            <a:srgbClr val="FFFF00"/>
          </a:solidFill>
          <a:ln>
            <a:noFill/>
          </a:ln>
          <a:effectLst>
            <a:outerShdw blurRad="57150" dist="19050" dir="5400000" algn="ctr" rotWithShape="0">
              <a:srgbClr val="000000">
                <a:alpha val="63000"/>
              </a:srgbClr>
            </a:outerShdw>
          </a:effectLst>
          <a:sp3d/>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rgbClr val="FFC000"/>
          </a:solidFill>
          <a:ln>
            <a:noFill/>
          </a:ln>
          <a:effectLst>
            <a:outerShdw blurRad="57150" dist="19050" dir="5400000" algn="ctr" rotWithShape="0">
              <a:srgbClr val="000000">
                <a:alpha val="63000"/>
              </a:srgbClr>
            </a:outerShdw>
          </a:effectLst>
          <a:sp3d/>
        </c:spPr>
      </c:pivotFmt>
      <c:pivotFmt>
        <c:idx val="31"/>
        <c:spPr>
          <a:solidFill>
            <a:srgbClr val="FFFF00"/>
          </a:solidFill>
          <a:ln>
            <a:noFill/>
          </a:ln>
          <a:effectLst>
            <a:outerShdw blurRad="57150" dist="19050" dir="5400000" algn="ctr" rotWithShape="0">
              <a:srgbClr val="000000">
                <a:alpha val="63000"/>
              </a:srgbClr>
            </a:outerShdw>
          </a:effectLst>
          <a:sp3d/>
        </c:spPr>
      </c:pivotFmt>
      <c:pivotFmt>
        <c:idx val="32"/>
        <c:spPr>
          <a:solidFill>
            <a:srgbClr val="FFFF00"/>
          </a:solidFill>
          <a:ln>
            <a:noFill/>
          </a:ln>
          <a:effectLst>
            <a:outerShdw blurRad="57150" dist="19050" dir="5400000" algn="ctr" rotWithShape="0">
              <a:srgbClr val="000000">
                <a:alpha val="63000"/>
              </a:srgbClr>
            </a:outerShdw>
          </a:effectLst>
          <a:sp3d/>
        </c:spPr>
      </c:pivotFmt>
      <c:pivotFmt>
        <c:idx val="33"/>
        <c:spPr>
          <a:solidFill>
            <a:srgbClr val="FFFF00"/>
          </a:solidFill>
          <a:ln>
            <a:noFill/>
          </a:ln>
          <a:effectLst>
            <a:outerShdw blurRad="57150" dist="19050" dir="5400000" algn="ctr" rotWithShape="0">
              <a:srgbClr val="000000">
                <a:alpha val="63000"/>
              </a:srgbClr>
            </a:outerShdw>
          </a:effectLst>
          <a:sp3d/>
        </c:spPr>
      </c:pivotFmt>
      <c:pivotFmt>
        <c:idx val="34"/>
        <c:spPr>
          <a:solidFill>
            <a:srgbClr val="FFFF00"/>
          </a:solidFill>
          <a:ln>
            <a:noFill/>
          </a:ln>
          <a:effectLst>
            <a:outerShdw blurRad="57150" dist="19050" dir="5400000" algn="ctr" rotWithShape="0">
              <a:srgbClr val="000000">
                <a:alpha val="63000"/>
              </a:srgbClr>
            </a:outerShdw>
          </a:effectLst>
          <a:sp3d/>
        </c:spPr>
      </c:pivotFmt>
      <c:pivotFmt>
        <c:idx val="35"/>
        <c:spPr>
          <a:solidFill>
            <a:srgbClr val="FFFF00"/>
          </a:solidFill>
          <a:ln>
            <a:noFill/>
          </a:ln>
          <a:effectLst>
            <a:outerShdw blurRad="57150" dist="19050" dir="5400000" algn="ctr" rotWithShape="0">
              <a:srgbClr val="000000">
                <a:alpha val="63000"/>
              </a:srgbClr>
            </a:outerShdw>
          </a:effectLst>
          <a:sp3d/>
        </c:spPr>
      </c:pivotFmt>
      <c:pivotFmt>
        <c:idx val="36"/>
        <c:spPr>
          <a:solidFill>
            <a:srgbClr val="FFFF00"/>
          </a:solidFill>
          <a:ln>
            <a:noFill/>
          </a:ln>
          <a:effectLst>
            <a:outerShdw blurRad="57150" dist="19050" dir="5400000" algn="ctr" rotWithShape="0">
              <a:srgbClr val="000000">
                <a:alpha val="63000"/>
              </a:srgbClr>
            </a:outerShdw>
          </a:effectLst>
          <a:sp3d/>
        </c:spPr>
      </c:pivotFmt>
      <c:pivotFmt>
        <c:idx val="37"/>
        <c:spPr>
          <a:solidFill>
            <a:srgbClr val="FFFF00"/>
          </a:solidFill>
          <a:ln>
            <a:noFill/>
          </a:ln>
          <a:effectLst>
            <a:outerShdw blurRad="57150" dist="19050" dir="5400000" algn="ctr" rotWithShape="0">
              <a:srgbClr val="000000">
                <a:alpha val="63000"/>
              </a:srgbClr>
            </a:outerShdw>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4627739776668129"/>
          <c:y val="0.28310449475065613"/>
          <c:w val="0.51356953394120708"/>
          <c:h val="0.57697840401528755"/>
        </c:manualLayout>
      </c:layout>
      <c:bar3DChart>
        <c:barDir val="bar"/>
        <c:grouping val="clustered"/>
        <c:varyColors val="0"/>
        <c:ser>
          <c:idx val="0"/>
          <c:order val="0"/>
          <c:tx>
            <c:strRef>
              <c:f>'Analysis-chart-AOF'!$F$8</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02A9-4F64-A386-F2D3C6BEDD3D}"/>
              </c:ext>
            </c:extLst>
          </c:dPt>
          <c:dPt>
            <c:idx val="1"/>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02A9-4F64-A386-F2D3C6BEDD3D}"/>
              </c:ext>
            </c:extLst>
          </c:dPt>
          <c:dPt>
            <c:idx val="2"/>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02A9-4F64-A386-F2D3C6BEDD3D}"/>
              </c:ext>
            </c:extLst>
          </c:dPt>
          <c:dPt>
            <c:idx val="3"/>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02A9-4F64-A386-F2D3C6BEDD3D}"/>
              </c:ext>
            </c:extLst>
          </c:dPt>
          <c:dPt>
            <c:idx val="4"/>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02A9-4F64-A386-F2D3C6BEDD3D}"/>
              </c:ext>
            </c:extLst>
          </c:dPt>
          <c:dPt>
            <c:idx val="5"/>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02A9-4F64-A386-F2D3C6BEDD3D}"/>
              </c:ext>
            </c:extLst>
          </c:dPt>
          <c:dPt>
            <c:idx val="6"/>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02A9-4F64-A386-F2D3C6BEDD3D}"/>
              </c:ext>
            </c:extLst>
          </c:dPt>
          <c:dPt>
            <c:idx val="7"/>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02A9-4F64-A386-F2D3C6BEDD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'Analysis-chart-AOF'!$E$9:$E$17</c:f>
              <c:strCache>
                <c:ptCount val="8"/>
                <c:pt idx="0">
                  <c:v>AOF 5: WATER, SANITATION AND HYGENE</c:v>
                </c:pt>
                <c:pt idx="1">
                  <c:v>AOF 6: SOCIAL INCLUSION</c:v>
                </c:pt>
                <c:pt idx="2">
                  <c:v>AOF 4: HEALTH AND CARE</c:v>
                </c:pt>
                <c:pt idx="3">
                  <c:v>AOF 1: DISASTER RISK REDUCTION</c:v>
                </c:pt>
                <c:pt idx="4">
                  <c:v>AOF 2: SHELTER</c:v>
                </c:pt>
                <c:pt idx="5">
                  <c:v>AOF 8: MIGRATION</c:v>
                </c:pt>
                <c:pt idx="6">
                  <c:v>AOF:7 CULTURE OF PEACE &amp; NON-VIOLENCE</c:v>
                </c:pt>
                <c:pt idx="7">
                  <c:v>AOF 3: LIVELIHOODS</c:v>
                </c:pt>
              </c:strCache>
            </c:strRef>
          </c:cat>
          <c:val>
            <c:numRef>
              <c:f>'Analysis-chart-AOF'!$F$9:$F$17</c:f>
              <c:numCache>
                <c:formatCode>0.0</c:formatCode>
                <c:ptCount val="8"/>
                <c:pt idx="0">
                  <c:v>2.2833333333333332</c:v>
                </c:pt>
                <c:pt idx="1">
                  <c:v>2.5750000000000002</c:v>
                </c:pt>
                <c:pt idx="2">
                  <c:v>2.6625000000000001</c:v>
                </c:pt>
                <c:pt idx="3">
                  <c:v>2.7428571428571429</c:v>
                </c:pt>
                <c:pt idx="4">
                  <c:v>2.8333333333333335</c:v>
                </c:pt>
                <c:pt idx="5">
                  <c:v>2.9</c:v>
                </c:pt>
                <c:pt idx="6">
                  <c:v>2.9249999999999998</c:v>
                </c:pt>
                <c:pt idx="7">
                  <c:v>2.9333333333333336</c:v>
                </c:pt>
              </c:numCache>
            </c:numRef>
          </c:val>
          <c:extLst>
            <c:ext xmlns:c16="http://schemas.microsoft.com/office/drawing/2014/chart" uri="{C3380CC4-5D6E-409C-BE32-E72D297353CC}">
              <c16:uniqueId val="{00000010-02A9-4F64-A386-F2D3C6BEDD3D}"/>
            </c:ext>
          </c:extLst>
        </c:ser>
        <c:dLbls>
          <c:showLegendKey val="0"/>
          <c:showVal val="0"/>
          <c:showCatName val="0"/>
          <c:showSerName val="0"/>
          <c:showPercent val="0"/>
          <c:showBubbleSize val="0"/>
        </c:dLbls>
        <c:gapWidth val="150"/>
        <c:shape val="box"/>
        <c:axId val="254119544"/>
        <c:axId val="254077928"/>
        <c:axId val="0"/>
      </c:bar3DChart>
      <c:catAx>
        <c:axId val="25411954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AOF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077928"/>
        <c:crosses val="autoZero"/>
        <c:auto val="1"/>
        <c:lblAlgn val="ctr"/>
        <c:lblOffset val="100"/>
        <c:noMultiLvlLbl val="0"/>
      </c:catAx>
      <c:valAx>
        <c:axId val="254077928"/>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AOF Levels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195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KE"/>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[Copy of Milestone.03.01.18.xlsx_ (002).xlsx]Analysis-chart SFIs!PivotTable4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MILESTONE RATING PER SFIs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a:outerShdw blurRad="57150" dist="19050" dir="5400000" algn="ctr" rotWithShape="0">
              <a:srgbClr val="000000">
                <a:alpha val="63000"/>
              </a:srgbClr>
            </a:outerShdw>
          </a:effectLst>
          <a:sp3d/>
        </c:spPr>
      </c:pivotFmt>
      <c:pivotFmt>
        <c:idx val="12"/>
        <c:spPr>
          <a:solidFill>
            <a:srgbClr val="00B050"/>
          </a:solidFill>
          <a:ln>
            <a:noFill/>
          </a:ln>
          <a:effectLst>
            <a:outerShdw blurRad="57150" dist="19050" dir="5400000" algn="ctr" rotWithShape="0">
              <a:srgbClr val="000000">
                <a:alpha val="63000"/>
              </a:srgbClr>
            </a:outerShdw>
          </a:effectLst>
          <a:sp3d/>
        </c:spPr>
      </c:pivotFmt>
      <c:pivotFmt>
        <c:idx val="13"/>
        <c:spPr>
          <a:solidFill>
            <a:srgbClr val="FFFF00"/>
          </a:solidFill>
          <a:ln>
            <a:noFill/>
          </a:ln>
          <a:effectLst>
            <a:outerShdw blurRad="57150" dist="19050" dir="5400000" algn="ctr" rotWithShape="0">
              <a:srgbClr val="000000">
                <a:alpha val="63000"/>
              </a:srgbClr>
            </a:outerShdw>
          </a:effectLst>
          <a:sp3d/>
        </c:spPr>
      </c:pivotFmt>
      <c:pivotFmt>
        <c:idx val="14"/>
        <c:spPr>
          <a:solidFill>
            <a:srgbClr val="00B050"/>
          </a:solidFill>
          <a:ln>
            <a:noFill/>
          </a:ln>
          <a:effectLst>
            <a:outerShdw blurRad="57150" dist="19050" dir="5400000" algn="ctr" rotWithShape="0">
              <a:srgbClr val="000000">
                <a:alpha val="63000"/>
              </a:srgbClr>
            </a:outerShdw>
          </a:effectLst>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rgbClr val="FFFF00"/>
          </a:solidFill>
          <a:ln>
            <a:noFill/>
          </a:ln>
          <a:effectLst>
            <a:outerShdw blurRad="57150" dist="19050" dir="5400000" algn="ctr" rotWithShape="0">
              <a:srgbClr val="000000">
                <a:alpha val="63000"/>
              </a:srgbClr>
            </a:outerShdw>
          </a:effectLst>
          <a:sp3d/>
        </c:spPr>
      </c:pivotFmt>
      <c:pivotFmt>
        <c:idx val="17"/>
        <c:spPr>
          <a:solidFill>
            <a:srgbClr val="00B050"/>
          </a:solidFill>
          <a:ln>
            <a:noFill/>
          </a:ln>
          <a:effectLst>
            <a:outerShdw blurRad="57150" dist="19050" dir="5400000" algn="ctr" rotWithShape="0">
              <a:srgbClr val="000000">
                <a:alpha val="63000"/>
              </a:srgbClr>
            </a:outerShdw>
          </a:effectLst>
          <a:sp3d/>
        </c:spPr>
      </c:pivotFmt>
      <c:pivotFmt>
        <c:idx val="18"/>
        <c:spPr>
          <a:solidFill>
            <a:srgbClr val="00B050"/>
          </a:solidFill>
          <a:ln>
            <a:noFill/>
          </a:ln>
          <a:effectLst>
            <a:outerShdw blurRad="57150" dist="19050" dir="5400000" algn="ctr" rotWithShape="0">
              <a:srgbClr val="000000">
                <a:alpha val="63000"/>
              </a:srgbClr>
            </a:outerShdw>
          </a:effectLst>
          <a:sp3d/>
        </c:spPr>
      </c:pivotFmt>
      <c:pivotFmt>
        <c:idx val="19"/>
        <c:spPr>
          <a:solidFill>
            <a:srgbClr val="00B050"/>
          </a:soli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FF00"/>
          </a:solidFill>
          <a:ln>
            <a:noFill/>
          </a:ln>
          <a:effectLst>
            <a:outerShdw blurRad="57150" dist="19050" dir="5400000" algn="ctr" rotWithShape="0">
              <a:srgbClr val="000000">
                <a:alpha val="63000"/>
              </a:srgbClr>
            </a:outerShdw>
          </a:effectLst>
          <a:sp3d/>
        </c:spPr>
      </c:pivotFmt>
      <c:pivotFmt>
        <c:idx val="22"/>
        <c:spPr>
          <a:solidFill>
            <a:srgbClr val="00B050"/>
          </a:solidFill>
          <a:ln>
            <a:noFill/>
          </a:ln>
          <a:effectLst>
            <a:outerShdw blurRad="57150" dist="19050" dir="5400000" algn="ctr" rotWithShape="0">
              <a:srgbClr val="000000">
                <a:alpha val="63000"/>
              </a:srgbClr>
            </a:outerShdw>
          </a:effectLst>
          <a:sp3d/>
        </c:spPr>
      </c:pivotFmt>
      <c:pivotFmt>
        <c:idx val="23"/>
        <c:spPr>
          <a:solidFill>
            <a:srgbClr val="00B050"/>
          </a:solidFill>
          <a:ln>
            <a:noFill/>
          </a:ln>
          <a:effectLst>
            <a:outerShdw blurRad="57150" dist="19050" dir="5400000" algn="ctr" rotWithShape="0">
              <a:srgbClr val="000000">
                <a:alpha val="63000"/>
              </a:srgbClr>
            </a:outerShdw>
          </a:effectLst>
          <a:sp3d/>
        </c:spPr>
      </c:pivotFmt>
      <c:pivotFmt>
        <c:idx val="24"/>
        <c:spPr>
          <a:solidFill>
            <a:srgbClr val="00B050"/>
          </a:solidFill>
          <a:ln>
            <a:noFill/>
          </a:ln>
          <a:effectLst>
            <a:outerShdw blurRad="57150" dist="19050" dir="5400000" algn="ctr" rotWithShape="0">
              <a:srgbClr val="000000">
                <a:alpha val="63000"/>
              </a:srgbClr>
            </a:outerShdw>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797381710264937"/>
          <c:y val="0.19068827832691126"/>
          <c:w val="0.66202515310586174"/>
          <c:h val="0.6293157626130067"/>
        </c:manualLayout>
      </c:layout>
      <c:bar3DChart>
        <c:barDir val="bar"/>
        <c:grouping val="clustered"/>
        <c:varyColors val="0"/>
        <c:ser>
          <c:idx val="0"/>
          <c:order val="0"/>
          <c:tx>
            <c:strRef>
              <c:f>'Analysis-chart SFIs'!$B$3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32BE-4A3F-8CEE-3054E2505BC7}"/>
              </c:ext>
            </c:extLst>
          </c:dPt>
          <c:dPt>
            <c:idx val="1"/>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32BE-4A3F-8CEE-3054E2505BC7}"/>
              </c:ext>
            </c:extLst>
          </c:dPt>
          <c:dPt>
            <c:idx val="2"/>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2BE-4A3F-8CEE-3054E2505BC7}"/>
              </c:ext>
            </c:extLst>
          </c:dPt>
          <c:dPt>
            <c:idx val="3"/>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32BE-4A3F-8CEE-3054E2505BC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'Analysis-chart SFIs'!$A$4:$A$8</c:f>
              <c:strCache>
                <c:ptCount val="4"/>
                <c:pt idx="0">
                  <c:v>SFI 3</c:v>
                </c:pt>
                <c:pt idx="1">
                  <c:v>SFI 1</c:v>
                </c:pt>
                <c:pt idx="2">
                  <c:v>SFI 4</c:v>
                </c:pt>
                <c:pt idx="3">
                  <c:v>SFI 2</c:v>
                </c:pt>
              </c:strCache>
            </c:strRef>
          </c:cat>
          <c:val>
            <c:numRef>
              <c:f>'Analysis-chart SFIs'!$B$4:$B$8</c:f>
              <c:numCache>
                <c:formatCode>0.0</c:formatCode>
                <c:ptCount val="4"/>
                <c:pt idx="0">
                  <c:v>2.9222222222222225</c:v>
                </c:pt>
                <c:pt idx="1">
                  <c:v>3.5</c:v>
                </c:pt>
                <c:pt idx="2">
                  <c:v>3.66</c:v>
                </c:pt>
                <c:pt idx="3">
                  <c:v>3.8200000000000003</c:v>
                </c:pt>
              </c:numCache>
            </c:numRef>
          </c:val>
          <c:extLst>
            <c:ext xmlns:c16="http://schemas.microsoft.com/office/drawing/2014/chart" uri="{C3380CC4-5D6E-409C-BE32-E72D297353CC}">
              <c16:uniqueId val="{00000008-32BE-4A3F-8CEE-3054E2505BC7}"/>
            </c:ext>
          </c:extLst>
        </c:ser>
        <c:dLbls>
          <c:showLegendKey val="0"/>
          <c:showVal val="1"/>
          <c:showCatName val="0"/>
          <c:showSerName val="0"/>
          <c:showPercent val="0"/>
          <c:showBubbleSize val="0"/>
        </c:dLbls>
        <c:gapWidth val="150"/>
        <c:shape val="box"/>
        <c:axId val="254102832"/>
        <c:axId val="254101848"/>
        <c:axId val="0"/>
      </c:bar3DChart>
      <c:catAx>
        <c:axId val="25410283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SFIs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01848"/>
        <c:crosses val="autoZero"/>
        <c:auto val="1"/>
        <c:lblAlgn val="ctr"/>
        <c:lblOffset val="100"/>
        <c:noMultiLvlLbl val="0"/>
      </c:catAx>
      <c:valAx>
        <c:axId val="254101848"/>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Levels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0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KE"/>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9C874-ED51-4EF1-B3B3-0469650E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4961</Words>
  <Characters>28282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FWAGA</dc:creator>
  <cp:keywords/>
  <dc:description/>
  <cp:lastModifiedBy>Cynthia NATENZI</cp:lastModifiedBy>
  <cp:revision>4</cp:revision>
  <cp:lastPrinted>2018-01-18T06:14:00Z</cp:lastPrinted>
  <dcterms:created xsi:type="dcterms:W3CDTF">2018-01-20T23:39:00Z</dcterms:created>
  <dcterms:modified xsi:type="dcterms:W3CDTF">2018-01-20T23:44:00Z</dcterms:modified>
</cp:coreProperties>
</file>