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C1" w:rsidRDefault="0014207E" w:rsidP="00D16432">
      <w:pPr>
        <w:pStyle w:val="Body"/>
        <w:jc w:val="both"/>
      </w:pPr>
      <w:bookmarkStart w:id="0" w:name="_GoBack"/>
      <w:bookmarkEnd w:id="0"/>
      <w:r>
        <w:rPr>
          <w:b/>
          <w:sz w:val="32"/>
        </w:rPr>
        <w:t>Déclaration finale</w:t>
      </w:r>
    </w:p>
    <w:p w:rsidR="005D7AC1" w:rsidRDefault="00DF5D63" w:rsidP="00D16432">
      <w:pPr>
        <w:pStyle w:val="Body"/>
        <w:jc w:val="both"/>
      </w:pPr>
      <w:r>
        <w:rPr>
          <w:b/>
          <w:sz w:val="32"/>
        </w:rPr>
        <w:t xml:space="preserve">Réunion du Partenariat régional africain de </w:t>
      </w:r>
      <w:r w:rsidR="0014207E">
        <w:rPr>
          <w:b/>
          <w:sz w:val="32"/>
        </w:rPr>
        <w:t>la FICR</w:t>
      </w:r>
      <w:r>
        <w:rPr>
          <w:b/>
          <w:sz w:val="32"/>
        </w:rPr>
        <w:t>, tenue le 20 janvier 2017 à Nairobi.</w:t>
      </w:r>
    </w:p>
    <w:p w:rsidR="005D7AC1" w:rsidRDefault="005D7AC1" w:rsidP="00D16432">
      <w:pPr>
        <w:pStyle w:val="Body"/>
        <w:pBdr>
          <w:bottom w:val="single" w:sz="4" w:space="0" w:color="000000"/>
        </w:pBdr>
        <w:jc w:val="both"/>
      </w:pPr>
    </w:p>
    <w:p w:rsidR="005D7AC1" w:rsidRDefault="005D7AC1" w:rsidP="00D16432">
      <w:pPr>
        <w:pStyle w:val="Body"/>
        <w:jc w:val="both"/>
      </w:pPr>
    </w:p>
    <w:p w:rsidR="005D7AC1" w:rsidRDefault="00DF5D63" w:rsidP="00D16432">
      <w:pPr>
        <w:pStyle w:val="Body"/>
        <w:jc w:val="both"/>
      </w:pPr>
      <w:r>
        <w:t xml:space="preserve">Les participants </w:t>
      </w:r>
      <w:r w:rsidR="00DA097A">
        <w:t xml:space="preserve">à la session </w:t>
      </w:r>
      <w:r>
        <w:t xml:space="preserve">du Partenariat régional africain de </w:t>
      </w:r>
      <w:r w:rsidR="0014207E">
        <w:t>la FICR</w:t>
      </w:r>
      <w:r>
        <w:t>, réunis du 18 au 20 janvier 2017 à Nairobi, en vue de trouver le moyen d'améliorer la collaboration des partenai</w:t>
      </w:r>
      <w:r w:rsidR="00993C5A">
        <w:t xml:space="preserve">res du Mouvement Croix-Rouge </w:t>
      </w:r>
      <w:r>
        <w:t>Croissant-Rouge en Afrique</w:t>
      </w:r>
      <w:r w:rsidR="00F55F3B">
        <w:t>,</w:t>
      </w:r>
      <w:r>
        <w:t xml:space="preserve"> pour un soutien mutuel et complémentaire ;</w:t>
      </w:r>
    </w:p>
    <w:p w:rsidR="005D7AC1" w:rsidRDefault="00DF5D63" w:rsidP="00D16432">
      <w:pPr>
        <w:pStyle w:val="Body"/>
        <w:jc w:val="both"/>
      </w:pPr>
      <w:r>
        <w:rPr>
          <w:i/>
        </w:rPr>
        <w:t>Guidés</w:t>
      </w:r>
      <w:r>
        <w:t xml:space="preserve"> par les objectifs suivants :</w:t>
      </w:r>
    </w:p>
    <w:p w:rsidR="005D7AC1" w:rsidRDefault="00DF5D63" w:rsidP="00D16432">
      <w:pPr>
        <w:pStyle w:val="ListParagraph"/>
        <w:numPr>
          <w:ilvl w:val="0"/>
          <w:numId w:val="2"/>
        </w:numPr>
        <w:jc w:val="both"/>
      </w:pPr>
      <w:r>
        <w:t xml:space="preserve">renforcer notre compréhension commune des tendances </w:t>
      </w:r>
      <w:r w:rsidR="0014207E">
        <w:t xml:space="preserve">en matière de questions </w:t>
      </w:r>
      <w:r>
        <w:t>humanitaires et de développement</w:t>
      </w:r>
      <w:r w:rsidR="007B28A9">
        <w:t>,</w:t>
      </w:r>
      <w:r>
        <w:t xml:space="preserve"> et la capacité des sociétés de la Croix-Rouge et du Croissant-Rouge d'y faire face ;  </w:t>
      </w:r>
    </w:p>
    <w:p w:rsidR="005D7AC1" w:rsidRDefault="00DF5D63" w:rsidP="00D16432">
      <w:pPr>
        <w:pStyle w:val="ListParagraph"/>
        <w:numPr>
          <w:ilvl w:val="0"/>
          <w:numId w:val="2"/>
        </w:numPr>
        <w:jc w:val="both"/>
      </w:pPr>
      <w:r>
        <w:t xml:space="preserve">développer notre capacité à travailler efficacement à une plus grande échelle par le biais de coalitions et de partenariats; et </w:t>
      </w:r>
    </w:p>
    <w:p w:rsidR="005D7AC1" w:rsidRDefault="00DF5D63" w:rsidP="00D16432">
      <w:pPr>
        <w:pStyle w:val="ListParagraph"/>
        <w:numPr>
          <w:ilvl w:val="0"/>
          <w:numId w:val="2"/>
        </w:numPr>
        <w:jc w:val="both"/>
      </w:pPr>
      <w:r>
        <w:t xml:space="preserve">comprendre le soutien requis au niveau du Secrétariat de </w:t>
      </w:r>
      <w:r w:rsidR="0014207E">
        <w:t>la FICR</w:t>
      </w:r>
      <w:r>
        <w:t xml:space="preserve">, ainsi que l'opportunité pour les partenaires du Mouvement d'exercer un leadership commun </w:t>
      </w:r>
      <w:r w:rsidR="0014207E">
        <w:t>en vue de</w:t>
      </w:r>
      <w:r>
        <w:t xml:space="preserve"> faire face aux tendances et plans principaux.</w:t>
      </w:r>
    </w:p>
    <w:p w:rsidR="005D7AC1" w:rsidRDefault="00DF5D63" w:rsidP="00D16432">
      <w:pPr>
        <w:pStyle w:val="Body"/>
        <w:jc w:val="both"/>
      </w:pPr>
      <w:r>
        <w:rPr>
          <w:i/>
        </w:rPr>
        <w:t>Reconnaissant</w:t>
      </w:r>
      <w:r>
        <w:t xml:space="preserve"> la diversité comme étant un atout pour le Mouvement Croix-Rouge Croissant-Rouge en Afrique et l'interdépendance des partenaires du Mouvement ; </w:t>
      </w:r>
    </w:p>
    <w:p w:rsidR="005D7AC1" w:rsidRDefault="00DF5D63" w:rsidP="00D16432">
      <w:pPr>
        <w:pStyle w:val="Body"/>
        <w:jc w:val="both"/>
      </w:pPr>
      <w:r>
        <w:rPr>
          <w:i/>
        </w:rPr>
        <w:t>Déterminés</w:t>
      </w:r>
      <w:r>
        <w:t xml:space="preserve"> à bâtir et à maintenir un partenariat efficace, les participants à la présente réunion s'engagent à bâtir leur collaboration sur les points suivants : </w:t>
      </w:r>
    </w:p>
    <w:p w:rsidR="005D7AC1" w:rsidRDefault="00DF5D63" w:rsidP="00D16432">
      <w:pPr>
        <w:pStyle w:val="ListParagraph"/>
        <w:numPr>
          <w:ilvl w:val="0"/>
          <w:numId w:val="4"/>
        </w:numPr>
        <w:jc w:val="both"/>
      </w:pPr>
      <w:r>
        <w:rPr>
          <w:b/>
        </w:rPr>
        <w:t>Surmonter les tendances</w:t>
      </w:r>
      <w:r>
        <w:t xml:space="preserve"> – Nos plans et actions doivent être à même de surmonter les principales tendances qui affectent notre travail en Afrique. Il s'agit notamment des attentes plus élevées des partenaires, des populations vulnérables, de la zéro tolérance pour tout manque d'intégrité, du changement de paradigme des financements en matière humanitaire et de développement, des nouvelles opportunités résultant des changements technologiques et du changement de politique vers la recherche d'assistance.</w:t>
      </w:r>
    </w:p>
    <w:p w:rsidR="005D7AC1" w:rsidRDefault="005D7AC1" w:rsidP="00D16432">
      <w:pPr>
        <w:pStyle w:val="ListParagraph"/>
        <w:jc w:val="both"/>
      </w:pPr>
    </w:p>
    <w:p w:rsidR="005D7AC1" w:rsidRDefault="00DF5D63" w:rsidP="00D16432">
      <w:pPr>
        <w:pStyle w:val="ListParagraph"/>
        <w:numPr>
          <w:ilvl w:val="0"/>
          <w:numId w:val="4"/>
        </w:numPr>
        <w:jc w:val="both"/>
      </w:pPr>
      <w:r>
        <w:rPr>
          <w:b/>
        </w:rPr>
        <w:t>Développement d</w:t>
      </w:r>
      <w:r w:rsidR="0014207E">
        <w:rPr>
          <w:b/>
        </w:rPr>
        <w:t xml:space="preserve">es </w:t>
      </w:r>
      <w:r>
        <w:rPr>
          <w:b/>
        </w:rPr>
        <w:t>Société</w:t>
      </w:r>
      <w:r w:rsidR="0014207E">
        <w:rPr>
          <w:b/>
        </w:rPr>
        <w:t>s</w:t>
      </w:r>
      <w:r>
        <w:rPr>
          <w:b/>
        </w:rPr>
        <w:t xml:space="preserve"> nationale</w:t>
      </w:r>
      <w:r w:rsidR="0014207E">
        <w:rPr>
          <w:b/>
        </w:rPr>
        <w:t>s</w:t>
      </w:r>
      <w:r>
        <w:t xml:space="preserve"> –  Le développement d</w:t>
      </w:r>
      <w:r w:rsidR="0014207E">
        <w:t>es</w:t>
      </w:r>
      <w:r>
        <w:t xml:space="preserve"> Société nationale</w:t>
      </w:r>
      <w:r w:rsidR="0014207E">
        <w:t>s</w:t>
      </w:r>
      <w:r>
        <w:t xml:space="preserve"> (SN) est le socle de tout ce que nous entreprenons. C'est uniquement par ledit développement que le Mouvement Croix-Rouge Croissant-Rouge peut maintenir ses activités d'apprentissage et de soutien des populations vulnérables.   Les sociétés nationales ont besoin de davantage de soutien en vue de leur permettre d'agir en qualité d'auxiliaires de leurs gouvernements respectifs et de partenaires de confiance – pour les principaux bailleurs de fonds. Ce soutien ne peut être possible que par la diffusion des outils appropriés existant</w:t>
      </w:r>
      <w:r w:rsidR="007061E4">
        <w:t>s</w:t>
      </w:r>
      <w:r>
        <w:t xml:space="preserve"> (tels que le Guide de </w:t>
      </w:r>
      <w:r w:rsidR="0014207E">
        <w:t>la FICR</w:t>
      </w:r>
      <w:r>
        <w:t xml:space="preserve"> sur le rôle auxiliaire </w:t>
      </w:r>
      <w:r w:rsidR="0014207E">
        <w:t>des</w:t>
      </w:r>
      <w:r>
        <w:t xml:space="preserve"> SN) et par le développement des outils requis, </w:t>
      </w:r>
      <w:r w:rsidR="0014207E">
        <w:t xml:space="preserve">le cas </w:t>
      </w:r>
      <w:proofErr w:type="spellStart"/>
      <w:r w:rsidR="0014207E">
        <w:t>échéan</w:t>
      </w:r>
      <w:proofErr w:type="spellEnd"/>
      <w:r>
        <w:t xml:space="preserve"> (tels que les outils de “marketing” ou promotionnels qui démontrent la valeur ajoutée du </w:t>
      </w:r>
      <w:r>
        <w:lastRenderedPageBreak/>
        <w:t xml:space="preserve">Mouvement). </w:t>
      </w:r>
      <w:r w:rsidR="0014207E">
        <w:t>LA FICR</w:t>
      </w:r>
      <w:r>
        <w:t>, en sa qualité de secrétariat, jouera un rôle central dans la mise en œuvre de ce processus.</w:t>
      </w:r>
    </w:p>
    <w:p w:rsidR="005D7AC1" w:rsidRDefault="005D7AC1" w:rsidP="00D16432">
      <w:pPr>
        <w:pStyle w:val="ListParagraph"/>
        <w:jc w:val="both"/>
      </w:pPr>
    </w:p>
    <w:p w:rsidR="005D7AC1" w:rsidRDefault="00DF5D63" w:rsidP="00D16432">
      <w:pPr>
        <w:pStyle w:val="ListParagraph"/>
        <w:numPr>
          <w:ilvl w:val="0"/>
          <w:numId w:val="4"/>
        </w:numPr>
        <w:jc w:val="both"/>
      </w:pPr>
      <w:r>
        <w:rPr>
          <w:b/>
        </w:rPr>
        <w:t>Décisions et opérations stratégiques menées par les Sociétés nationales –</w:t>
      </w:r>
      <w:r>
        <w:t xml:space="preserve"> Les coalitions les plus solides en Afrique ont été bâties lorsque les Sociétés nationales africaines dirigeaient le processus de prise de décision et les opérations. Lorsque les SN africaines décident d'assumer la responsabilité de tout succès ou échec, elles acquièrent la capacité d'apporter un changement. La capacité locale est l'un des principaux atouts à améliorer et sur lequel s'appuyer.</w:t>
      </w:r>
    </w:p>
    <w:p w:rsidR="005D7AC1" w:rsidRDefault="005D7AC1" w:rsidP="00D16432">
      <w:pPr>
        <w:pStyle w:val="ListParagraph"/>
        <w:jc w:val="both"/>
      </w:pPr>
    </w:p>
    <w:p w:rsidR="005D7AC1" w:rsidRDefault="00DF5D63" w:rsidP="00D16432">
      <w:pPr>
        <w:pStyle w:val="ListParagraph"/>
        <w:numPr>
          <w:ilvl w:val="0"/>
          <w:numId w:val="4"/>
        </w:numPr>
        <w:jc w:val="both"/>
      </w:pPr>
      <w:r>
        <w:rPr>
          <w:b/>
        </w:rPr>
        <w:t xml:space="preserve">Leadership commun </w:t>
      </w:r>
      <w:r>
        <w:t xml:space="preserve">– </w:t>
      </w:r>
      <w:r>
        <w:rPr>
          <w:rFonts w:ascii="Times New Roman" w:hAnsi="Times New Roman"/>
          <w:sz w:val="14"/>
        </w:rPr>
        <w:t xml:space="preserve"> </w:t>
      </w:r>
      <w:r>
        <w:t>Des groupes de leadership commun seront formés afin d'assurer une approche collective aux questions régionales, telles que la sécheresse du Lac Tchad, basée sur des plans détaillés qui couvrent “l'ensemble du mouvement”. Un leadership commun implique une approche collaborative et inclusive, un leadership technique et un soutien mutuel. Les partenaires s'engagent à créer d</w:t>
      </w:r>
      <w:r w:rsidR="00934C75">
        <w:t>es groupes de leadership commun</w:t>
      </w:r>
      <w:r>
        <w:t xml:space="preserve"> pour huit domaines majeurs de travail</w:t>
      </w:r>
      <w:r w:rsidR="00934C75">
        <w:t>, à savoir</w:t>
      </w:r>
      <w:r>
        <w:t xml:space="preserve"> le développement des Sociétés nationales, la gestion des catastrophes, le mouvement de population, le Lac Tchad, la sécheresse dans le sud de l'Afrique, la sécheresse à l'est de l'Afrique, la migration et les urgences sanitaires. En outre, l'esprit du leadership commun sera ainsi respecté, conformément à la résolution </w:t>
      </w:r>
      <w:r w:rsidR="00393949">
        <w:t>U</w:t>
      </w:r>
      <w:r>
        <w:t>ne (1) du Conseil des délégués de 2015 (Renforcer la coordination et la coopération au sein du mouvement ou SMCC).</w:t>
      </w:r>
    </w:p>
    <w:p w:rsidR="005D7AC1" w:rsidRDefault="005D7AC1" w:rsidP="00D16432">
      <w:pPr>
        <w:pStyle w:val="ListParagraph"/>
        <w:jc w:val="both"/>
      </w:pPr>
    </w:p>
    <w:p w:rsidR="005D7AC1" w:rsidRDefault="00DF5D63" w:rsidP="00D16432">
      <w:pPr>
        <w:pStyle w:val="ListParagraph"/>
        <w:numPr>
          <w:ilvl w:val="0"/>
          <w:numId w:val="4"/>
        </w:numPr>
        <w:jc w:val="both"/>
      </w:pPr>
      <w:r>
        <w:rPr>
          <w:b/>
        </w:rPr>
        <w:t>Confiance et Respect</w:t>
      </w:r>
      <w:r>
        <w:t xml:space="preserve"> – La confiance ne se gagne pas après une seule réunion ou une seule action. Elle se bâtit avec le temps et doit être maintenue respectivement et mutuellement par tous les partenaires. Un partenariat efficace et une coalition solide nécessitent une confiance et un respect mutuels. </w:t>
      </w:r>
      <w:proofErr w:type="spellStart"/>
      <w:r>
        <w:t>Quelque</w:t>
      </w:r>
      <w:proofErr w:type="spellEnd"/>
      <w:r>
        <w:t xml:space="preserve"> soit le nombre d</w:t>
      </w:r>
      <w:r w:rsidR="00141138">
        <w:t>es effectifs</w:t>
      </w:r>
      <w:r>
        <w:t xml:space="preserve"> ou la taille du budget d'une organisation, tous les membres d'une coalition doivent activement respecter le mandat, les obligations et l'indépendance de chacun et reconnaître les contraintes et engagements de chacun. Établir la confiance et faire preuve de respect obligent chaque organisation à partager le retour d'information, les plans et les intention</w:t>
      </w:r>
      <w:r w:rsidR="00964E99">
        <w:t>s</w:t>
      </w:r>
      <w:r>
        <w:t xml:space="preserve"> le plus ouvertement possible. </w:t>
      </w:r>
    </w:p>
    <w:p w:rsidR="005D7AC1" w:rsidRDefault="005D7AC1" w:rsidP="00D16432">
      <w:pPr>
        <w:pStyle w:val="ListParagraph"/>
        <w:jc w:val="both"/>
      </w:pPr>
    </w:p>
    <w:p w:rsidR="005D7AC1" w:rsidRDefault="004E6972" w:rsidP="00D16432">
      <w:pPr>
        <w:pStyle w:val="ListParagraph"/>
        <w:numPr>
          <w:ilvl w:val="0"/>
          <w:numId w:val="4"/>
        </w:numPr>
        <w:jc w:val="both"/>
      </w:pPr>
      <w:r>
        <w:rPr>
          <w:b/>
        </w:rPr>
        <w:t>C</w:t>
      </w:r>
      <w:r w:rsidR="00DF5D63">
        <w:rPr>
          <w:b/>
        </w:rPr>
        <w:t>omplémentarité</w:t>
      </w:r>
      <w:r w:rsidR="00DF5D63">
        <w:t xml:space="preserve"> – La diversité au sein du mouvement en Afrique est un atout si nous nous appuyons sur nos avantages comparatifs e</w:t>
      </w:r>
      <w:r w:rsidR="00EB42E5">
        <w:t>t complétons les contributions d</w:t>
      </w:r>
      <w:r w:rsidR="00DF5D63">
        <w:t xml:space="preserve">es uns </w:t>
      </w:r>
      <w:r w:rsidR="009A3A51">
        <w:t>et d</w:t>
      </w:r>
      <w:r w:rsidR="00DF5D63">
        <w:t xml:space="preserve">es autres. Il est crucial pour tous les partenaires de signaler toute activité bilatérale et multilatérale, afin d'assurer un inventaire actuel des ressources disponibles en vue de soutenir le profil du mouvement et faciliter les actions complémentaires d'échelon en Afrique. </w:t>
      </w:r>
    </w:p>
    <w:p w:rsidR="005D7AC1" w:rsidRDefault="005D7AC1" w:rsidP="00D16432">
      <w:pPr>
        <w:pStyle w:val="ListParagraph"/>
        <w:jc w:val="both"/>
      </w:pPr>
    </w:p>
    <w:p w:rsidR="005D7AC1" w:rsidRDefault="00DF5D63" w:rsidP="00D16432">
      <w:pPr>
        <w:pStyle w:val="ListParagraph"/>
        <w:numPr>
          <w:ilvl w:val="0"/>
          <w:numId w:val="4"/>
        </w:numPr>
        <w:jc w:val="both"/>
      </w:pPr>
      <w:r>
        <w:rPr>
          <w:b/>
        </w:rPr>
        <w:t>Financement thématique à plus long terme</w:t>
      </w:r>
      <w:r>
        <w:t xml:space="preserve"> </w:t>
      </w:r>
      <w:r>
        <w:rPr>
          <w:b/>
        </w:rPr>
        <w:t>–</w:t>
      </w:r>
      <w:r>
        <w:t xml:space="preserve">  Historiquement, l'architecture des ressources de </w:t>
      </w:r>
      <w:r w:rsidR="0014207E">
        <w:t>la FICR</w:t>
      </w:r>
      <w:r>
        <w:t xml:space="preserve"> est basé</w:t>
      </w:r>
      <w:r w:rsidR="00384804">
        <w:t>e</w:t>
      </w:r>
      <w:r>
        <w:t xml:space="preserve"> sur le financement de projet à court terme. Cette approche a permis d'identifier plusieurs défis. Premièrement, elle a engendré une forte rotation du personnel conduisant ainsi à la perte de la mémoire institutionnelle. Deuxièmement, les fonds sont étroitement affectés et ne permettent pas une certaine flexibilité. Troisièmement, une </w:t>
      </w:r>
      <w:r>
        <w:lastRenderedPageBreak/>
        <w:t xml:space="preserve">approche basée sur un projet implique l'élaboration de plusieurs rapports, ce qui est un problème, le bureau régional ayant très peu de ressources humaines. Quatrièmement, ce type d'architecture de financement à court terme conduit à une exécution fragmentée et sporadique des programmes qui s'est avérée inefficace.  </w:t>
      </w:r>
    </w:p>
    <w:p w:rsidR="0014207E" w:rsidRDefault="00DF5D63" w:rsidP="00D16432">
      <w:pPr>
        <w:pStyle w:val="ListParagraph"/>
        <w:jc w:val="both"/>
      </w:pPr>
      <w:r>
        <w:t>Les autres défis associés à cette méthode de financement à court terme incluent : de multiple</w:t>
      </w:r>
      <w:r w:rsidR="004D0C8B">
        <w:t>s</w:t>
      </w:r>
      <w:r>
        <w:t xml:space="preserve"> approches au près des mêmes partenaires, des légers risques de réputation élevés dus au manque de coordination et </w:t>
      </w:r>
      <w:r w:rsidR="007B275C">
        <w:t xml:space="preserve">une </w:t>
      </w:r>
      <w:r>
        <w:t>faible capacité à investir dans le développement de la Société nationale.</w:t>
      </w:r>
    </w:p>
    <w:p w:rsidR="0014207E" w:rsidRDefault="00DF5D63" w:rsidP="00D16432">
      <w:pPr>
        <w:pStyle w:val="ListParagraph"/>
        <w:jc w:val="both"/>
      </w:pPr>
      <w:r>
        <w:br/>
        <w:t>D'où la nécessité d'un changement vers des financements thématiques à plus long terme qui permettr</w:t>
      </w:r>
      <w:r w:rsidR="00355487">
        <w:t>ont</w:t>
      </w:r>
      <w:r>
        <w:t xml:space="preserve"> à </w:t>
      </w:r>
      <w:r w:rsidR="0014207E">
        <w:t>la FICR</w:t>
      </w:r>
      <w:r>
        <w:t xml:space="preserve"> d'avoir un plus grand impact à long terme et d'œuvrer de manière plus fédérée. En outre, une approche à long terme permettra à la région d'avoir des ressources constantes et plus prévisibles, facilitera l'élaboration des rapports et permettra le transfert des ressources vers les zones qui en ont le plus besoin, de manière plus flexible.    Finalement, grâce à notre matrice axée sur les résultats, nous pourrons exercer plus de responsabilité et faire preuve de plus de transparence.</w:t>
      </w:r>
    </w:p>
    <w:p w:rsidR="005D7AC1" w:rsidRDefault="005D7AC1" w:rsidP="00D16432">
      <w:pPr>
        <w:pStyle w:val="ListParagraph"/>
        <w:jc w:val="both"/>
      </w:pPr>
    </w:p>
    <w:p w:rsidR="005D7AC1" w:rsidRDefault="00E1171A" w:rsidP="00D16432">
      <w:pPr>
        <w:pStyle w:val="ListParagraph"/>
        <w:numPr>
          <w:ilvl w:val="0"/>
          <w:numId w:val="6"/>
        </w:numPr>
        <w:jc w:val="both"/>
      </w:pPr>
      <w:r>
        <w:rPr>
          <w:b/>
        </w:rPr>
        <w:t>I</w:t>
      </w:r>
      <w:r w:rsidR="00DF5D63">
        <w:rPr>
          <w:b/>
        </w:rPr>
        <w:t xml:space="preserve">ntégrité –  </w:t>
      </w:r>
      <w:r w:rsidR="00DF5D63">
        <w:t>La région Afrique a renouvelé ses efforts en vue de renforcer les cadres de gouvernance et d'intégrité. Lors d'une réunion qui réunissait les leaders des Sociétés nationales africaines de la Croix-Rouge Croissant-Rouge à Nairobi, au Kenya, du 13 au 15 décembre</w:t>
      </w:r>
      <w:r w:rsidR="002D1871">
        <w:t xml:space="preserve"> </w:t>
      </w:r>
      <w:r w:rsidR="00DF5D63">
        <w:t>2016, les participants ont unanimement renouvelé leur engagement à faire preuve de transparence, de responsabilité et d'apprendre des erreurs passées, afin d'un meilleur impact de leur œuvre humanitaire en Afrique</w:t>
      </w:r>
      <w:r w:rsidR="00DF5D63">
        <w:rPr>
          <w:b/>
        </w:rPr>
        <w:t>.</w:t>
      </w:r>
    </w:p>
    <w:p w:rsidR="005D7AC1" w:rsidRDefault="005D7AC1" w:rsidP="00D16432">
      <w:pPr>
        <w:pStyle w:val="ListParagraph"/>
        <w:jc w:val="both"/>
      </w:pPr>
    </w:p>
    <w:p w:rsidR="005D7AC1" w:rsidRDefault="00AE7A68" w:rsidP="00D16432">
      <w:pPr>
        <w:pStyle w:val="ListParagraph"/>
        <w:numPr>
          <w:ilvl w:val="0"/>
          <w:numId w:val="6"/>
        </w:numPr>
        <w:jc w:val="both"/>
      </w:pPr>
      <w:r>
        <w:rPr>
          <w:b/>
        </w:rPr>
        <w:t>T</w:t>
      </w:r>
      <w:r w:rsidR="00DF5D63">
        <w:rPr>
          <w:b/>
        </w:rPr>
        <w:t xml:space="preserve">ransparence et </w:t>
      </w:r>
      <w:proofErr w:type="spellStart"/>
      <w:r w:rsidR="00DF5D63">
        <w:rPr>
          <w:b/>
        </w:rPr>
        <w:t>re</w:t>
      </w:r>
      <w:r w:rsidR="0014207E">
        <w:rPr>
          <w:b/>
        </w:rPr>
        <w:t>devabilité</w:t>
      </w:r>
      <w:proofErr w:type="spellEnd"/>
      <w:r w:rsidR="00DF5D63">
        <w:t xml:space="preserve"> – La transparence et la responsabilité ne s'obtiennent que par le dialogue (sur un pied d'égalité), avec un accent sur des consultations en amont et le partage d'informations. Il est crucial de définir et de diffuser les normes, particulièrement concernant le développement des Sociétés nationales, et de prendre des mesures communes en faveur du succès. Une communication des résultats, y compris la transparence financière, renforce le niveau de confiance et de responsabilité au sein des organisations. </w:t>
      </w:r>
    </w:p>
    <w:p w:rsidR="005D7AC1" w:rsidRDefault="005D7AC1" w:rsidP="00D16432">
      <w:pPr>
        <w:pStyle w:val="ListParagraph"/>
        <w:jc w:val="both"/>
      </w:pPr>
    </w:p>
    <w:p w:rsidR="005D7AC1" w:rsidRDefault="0014207E" w:rsidP="00D16432">
      <w:pPr>
        <w:pStyle w:val="ListParagraph"/>
        <w:numPr>
          <w:ilvl w:val="0"/>
          <w:numId w:val="6"/>
        </w:numPr>
        <w:jc w:val="both"/>
        <w:rPr>
          <w:b/>
          <w:bCs/>
        </w:rPr>
      </w:pPr>
      <w:r>
        <w:rPr>
          <w:b/>
        </w:rPr>
        <w:t>Faire fond</w:t>
      </w:r>
      <w:r w:rsidR="00DF5D63">
        <w:rPr>
          <w:b/>
        </w:rPr>
        <w:t xml:space="preserve"> sur les décisions prises – </w:t>
      </w:r>
      <w:r w:rsidR="00DF5D63">
        <w:t xml:space="preserve">Beaucoup de travail a été abattu et plusieurs consultations menées pour définir la feuille de route de </w:t>
      </w:r>
      <w:r>
        <w:t>la FICR</w:t>
      </w:r>
      <w:r w:rsidR="00DF5D63">
        <w:t xml:space="preserve"> en Afrique, notamment les principaux domaines de travail et les termes de référence pour un groupe de leadership commun. Un tel travail constitue une partie essentielle des outils de référence qui servent de directives et d'orientation à la prise de décisions éclairées, </w:t>
      </w:r>
      <w:r w:rsidR="00AF4249">
        <w:t>aux</w:t>
      </w:r>
      <w:r w:rsidR="00DF5D63">
        <w:t xml:space="preserve"> affectations des ressource</w:t>
      </w:r>
      <w:r w:rsidR="00AF4249">
        <w:t>s</w:t>
      </w:r>
      <w:r w:rsidR="00DF5D63">
        <w:t xml:space="preserve"> et </w:t>
      </w:r>
      <w:r w:rsidR="00AF4249">
        <w:t>aux</w:t>
      </w:r>
      <w:r w:rsidR="00DF5D63">
        <w:t xml:space="preserve"> comportements appropriés quant aux possibles futurs partenariats, notamment avec qui collaborer, où et comment. </w:t>
      </w:r>
    </w:p>
    <w:sectPr w:rsidR="005D7AC1" w:rsidSect="0017166C">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E1B" w:rsidRDefault="00D83E1B">
      <w:r>
        <w:separator/>
      </w:r>
    </w:p>
  </w:endnote>
  <w:endnote w:type="continuationSeparator" w:id="0">
    <w:p w:rsidR="00D83E1B" w:rsidRDefault="00D83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AC1" w:rsidRDefault="005D7AC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E1B" w:rsidRDefault="00D83E1B">
      <w:r>
        <w:separator/>
      </w:r>
    </w:p>
  </w:footnote>
  <w:footnote w:type="continuationSeparator" w:id="0">
    <w:p w:rsidR="00D83E1B" w:rsidRDefault="00D83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AC1" w:rsidRDefault="0014207E">
    <w:pPr>
      <w:pStyle w:val="Header"/>
      <w:tabs>
        <w:tab w:val="clear" w:pos="9026"/>
        <w:tab w:val="right" w:pos="9000"/>
      </w:tabs>
    </w:pPr>
    <w:r>
      <w:rPr>
        <w:noProof/>
        <w:lang w:val="en-US" w:eastAsia="en-US" w:bidi="ar-SA"/>
      </w:rPr>
      <mc:AlternateContent>
        <mc:Choice Requires="wps">
          <w:drawing>
            <wp:anchor distT="152400" distB="152400" distL="152400" distR="152400" simplePos="0" relativeHeight="251657728" behindDoc="1" locked="0" layoutInCell="1" allowOverlap="1">
              <wp:simplePos x="0" y="0"/>
              <wp:positionH relativeFrom="page">
                <wp:posOffset>1254760</wp:posOffset>
              </wp:positionH>
              <wp:positionV relativeFrom="page">
                <wp:posOffset>3831590</wp:posOffset>
              </wp:positionV>
              <wp:extent cx="5049520" cy="3030220"/>
              <wp:effectExtent l="0" t="2540"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049520" cy="303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17166C" w:rsidRDefault="0029178F">
                          <w:pPr>
                            <w:pStyle w:val="Caption"/>
                            <w:tabs>
                              <w:tab w:val="left" w:pos="1440"/>
                              <w:tab w:val="left" w:pos="2880"/>
                              <w:tab w:val="left" w:pos="4320"/>
                              <w:tab w:val="left" w:pos="5760"/>
                              <w:tab w:val="left" w:pos="7200"/>
                            </w:tabs>
                          </w:pPr>
                          <w:r>
                            <w:rPr>
                              <w:color w:val="C0C0C0"/>
                              <w:sz w:val="476"/>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 o:spid="_x0000_s1026" style="position:absolute;margin-left:98.8pt;margin-top:301.7pt;width:397.6pt;height:238.6pt;rotation:-45;z-index:-2516587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" filled="f" stroked="f" strokeweight="1pt">
              <v:stroke miterlimit="4"/>
              <v:textbox>
                <w:txbxContent>
                  <w:p w:rsidR="0017166C" w:rsidRDefault="0029178F">
                    <w:pPr>
                      <w:pStyle w:val="Caption"/>
                      <w:tabs>
                        <w:tab w:val="left" w:pos="1440"/>
                        <w:tab w:val="left" w:pos="2880"/>
                        <w:tab w:val="left" w:pos="4320"/>
                        <w:tab w:val="left" w:pos="5760"/>
                        <w:tab w:val="left" w:pos="7200"/>
                      </w:tabs>
                    </w:pPr>
                    <w:r>
                      <w:rPr>
                        <w:color w:val="C0C0C0"/>
                        <w:sz w:val="476"/>
                      </w:rPr>
                      <w:t>PROJET</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922E6"/>
    <w:multiLevelType w:val="hybridMultilevel"/>
    <w:tmpl w:val="02E0ADA6"/>
    <w:numStyleLink w:val="ImportedStyle1"/>
  </w:abstractNum>
  <w:abstractNum w:abstractNumId="1">
    <w:nsid w:val="3380741B"/>
    <w:multiLevelType w:val="hybridMultilevel"/>
    <w:tmpl w:val="119031DE"/>
    <w:numStyleLink w:val="ImportedStyle3"/>
  </w:abstractNum>
  <w:abstractNum w:abstractNumId="2">
    <w:nsid w:val="44274517"/>
    <w:multiLevelType w:val="hybridMultilevel"/>
    <w:tmpl w:val="917CD020"/>
    <w:styleLink w:val="ImportedStyle2"/>
    <w:lvl w:ilvl="0" w:tplc="085E51D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365C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3A87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F4F77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1CBA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6A89E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3A442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4CA6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3816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62C0E69"/>
    <w:multiLevelType w:val="hybridMultilevel"/>
    <w:tmpl w:val="119031DE"/>
    <w:styleLink w:val="ImportedStyle3"/>
    <w:lvl w:ilvl="0" w:tplc="6038B7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02A8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3014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482E6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BFC7C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A54A5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F4793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0AB1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D61A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6AF5060E"/>
    <w:multiLevelType w:val="hybridMultilevel"/>
    <w:tmpl w:val="917CD020"/>
    <w:numStyleLink w:val="ImportedStyle2"/>
  </w:abstractNum>
  <w:abstractNum w:abstractNumId="5">
    <w:nsid w:val="6CF831B4"/>
    <w:multiLevelType w:val="hybridMultilevel"/>
    <w:tmpl w:val="02E0ADA6"/>
    <w:styleLink w:val="ImportedStyle1"/>
    <w:lvl w:ilvl="0" w:tplc="284A1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E2A40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91497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C867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F0812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D58D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EA06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4EA6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D22AA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C1"/>
    <w:rsid w:val="00141138"/>
    <w:rsid w:val="0014207E"/>
    <w:rsid w:val="0017166C"/>
    <w:rsid w:val="0021504B"/>
    <w:rsid w:val="002636E1"/>
    <w:rsid w:val="0029178F"/>
    <w:rsid w:val="002D1871"/>
    <w:rsid w:val="00355487"/>
    <w:rsid w:val="00384804"/>
    <w:rsid w:val="00393949"/>
    <w:rsid w:val="00436A2B"/>
    <w:rsid w:val="004627BE"/>
    <w:rsid w:val="004B06F8"/>
    <w:rsid w:val="004D0C8B"/>
    <w:rsid w:val="004E6972"/>
    <w:rsid w:val="004F5854"/>
    <w:rsid w:val="004F5EEF"/>
    <w:rsid w:val="00567BDB"/>
    <w:rsid w:val="005D7AC1"/>
    <w:rsid w:val="00643AC0"/>
    <w:rsid w:val="006B6793"/>
    <w:rsid w:val="006C4963"/>
    <w:rsid w:val="007061E4"/>
    <w:rsid w:val="007B275C"/>
    <w:rsid w:val="007B28A9"/>
    <w:rsid w:val="00820C61"/>
    <w:rsid w:val="00932A3E"/>
    <w:rsid w:val="00934C75"/>
    <w:rsid w:val="00964E99"/>
    <w:rsid w:val="00993C5A"/>
    <w:rsid w:val="009A3A51"/>
    <w:rsid w:val="00AE7A68"/>
    <w:rsid w:val="00AF0407"/>
    <w:rsid w:val="00AF4249"/>
    <w:rsid w:val="00D16432"/>
    <w:rsid w:val="00D40FE5"/>
    <w:rsid w:val="00D42B2C"/>
    <w:rsid w:val="00D83E1B"/>
    <w:rsid w:val="00DA097A"/>
    <w:rsid w:val="00DF5D63"/>
    <w:rsid w:val="00E1171A"/>
    <w:rsid w:val="00EB42E5"/>
    <w:rsid w:val="00F55F3B"/>
    <w:rsid w:val="00FC7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4917B6-041D-4D7E-BBE5-A234CF30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fr-FR"/>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16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166C"/>
    <w:rPr>
      <w:u w:val="single"/>
    </w:rPr>
  </w:style>
  <w:style w:type="paragraph" w:styleId="Header">
    <w:name w:val="header"/>
    <w:rsid w:val="0017166C"/>
    <w:pPr>
      <w:tabs>
        <w:tab w:val="center" w:pos="4513"/>
        <w:tab w:val="right" w:pos="9026"/>
      </w:tabs>
    </w:pPr>
    <w:rPr>
      <w:rFonts w:ascii="Calibri" w:eastAsia="Calibri" w:hAnsi="Calibri" w:cs="Calibri"/>
      <w:color w:val="000000"/>
      <w:sz w:val="22"/>
      <w:szCs w:val="22"/>
      <w:u w:color="000000"/>
    </w:rPr>
  </w:style>
  <w:style w:type="paragraph" w:styleId="Caption">
    <w:name w:val="caption"/>
    <w:rsid w:val="0017166C"/>
    <w:pPr>
      <w:suppressAutoHyphens/>
      <w:outlineLvl w:val="0"/>
    </w:pPr>
    <w:rPr>
      <w:rFonts w:ascii="Calibri" w:eastAsia="Calibri" w:hAnsi="Calibri" w:cs="Calibri"/>
      <w:color w:val="000000"/>
      <w:sz w:val="36"/>
      <w:szCs w:val="36"/>
    </w:rPr>
  </w:style>
  <w:style w:type="paragraph" w:customStyle="1" w:styleId="HeaderFooter">
    <w:name w:val="Header &amp; Footer"/>
    <w:rsid w:val="0017166C"/>
    <w:pPr>
      <w:tabs>
        <w:tab w:val="right" w:pos="9020"/>
      </w:tabs>
    </w:pPr>
    <w:rPr>
      <w:rFonts w:ascii="Helvetica" w:eastAsia="Helvetica" w:hAnsi="Helvetica" w:cs="Helvetica"/>
      <w:color w:val="000000"/>
      <w:sz w:val="24"/>
      <w:szCs w:val="24"/>
    </w:rPr>
  </w:style>
  <w:style w:type="paragraph" w:customStyle="1" w:styleId="Body">
    <w:name w:val="Body"/>
    <w:rsid w:val="0017166C"/>
    <w:pPr>
      <w:spacing w:after="160" w:line="259" w:lineRule="auto"/>
    </w:pPr>
    <w:rPr>
      <w:rFonts w:ascii="Calibri" w:eastAsia="Calibri" w:hAnsi="Calibri" w:cs="Calibri"/>
      <w:color w:val="000000"/>
      <w:sz w:val="22"/>
      <w:szCs w:val="22"/>
      <w:u w:color="000000"/>
    </w:rPr>
  </w:style>
  <w:style w:type="paragraph" w:styleId="ListParagraph">
    <w:name w:val="List Paragraph"/>
    <w:rsid w:val="0017166C"/>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17166C"/>
    <w:pPr>
      <w:numPr>
        <w:numId w:val="1"/>
      </w:numPr>
    </w:pPr>
  </w:style>
  <w:style w:type="numbering" w:customStyle="1" w:styleId="ImportedStyle2">
    <w:name w:val="Imported Style 2"/>
    <w:rsid w:val="0017166C"/>
    <w:pPr>
      <w:numPr>
        <w:numId w:val="3"/>
      </w:numPr>
    </w:pPr>
  </w:style>
  <w:style w:type="numbering" w:customStyle="1" w:styleId="ImportedStyle3">
    <w:name w:val="Imported Style 3"/>
    <w:rsid w:val="0017166C"/>
    <w:pPr>
      <w:numPr>
        <w:numId w:val="5"/>
      </w:numPr>
    </w:pPr>
  </w:style>
  <w:style w:type="paragraph" w:styleId="BalloonText">
    <w:name w:val="Balloon Text"/>
    <w:basedOn w:val="Normal"/>
    <w:link w:val="BalloonTextChar"/>
    <w:uiPriority w:val="99"/>
    <w:semiHidden/>
    <w:unhideWhenUsed/>
    <w:rsid w:val="00D16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432"/>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Fidelis KANGETHE</dc:creator>
  <cp:lastModifiedBy>user</cp:lastModifiedBy>
  <cp:revision>2</cp:revision>
  <dcterms:created xsi:type="dcterms:W3CDTF">2018-01-22T08:06:00Z</dcterms:created>
  <dcterms:modified xsi:type="dcterms:W3CDTF">2018-01-22T08:06:00Z</dcterms:modified>
</cp:coreProperties>
</file>