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3D84A" w14:textId="77777777" w:rsidR="00274EAD" w:rsidRPr="00274EAD" w:rsidRDefault="00274EAD" w:rsidP="00274EAD">
      <w:pPr>
        <w:spacing w:after="0" w:line="240" w:lineRule="auto"/>
        <w:rPr>
          <w:rFonts w:ascii="Times New Roman" w:hAnsi="Times New Roman" w:cs="Times New Roman"/>
          <w:b/>
          <w:color w:val="FF0000"/>
          <w:sz w:val="28"/>
          <w:szCs w:val="28"/>
          <w:lang w:val="fr-CH"/>
        </w:rPr>
      </w:pPr>
      <w:r w:rsidRPr="00274EAD">
        <w:rPr>
          <w:rFonts w:ascii="Times New Roman" w:hAnsi="Times New Roman" w:cs="Times New Roman"/>
          <w:b/>
          <w:color w:val="FF0000"/>
          <w:sz w:val="28"/>
          <w:szCs w:val="28"/>
          <w:lang w:val="fr-CH"/>
        </w:rPr>
        <w:t>Fédération internationale des Sociétés de la Croix-Rouge et du Croissant-Rouge</w:t>
      </w:r>
    </w:p>
    <w:p w14:paraId="4FFD52B1" w14:textId="77777777" w:rsidR="00274EAD" w:rsidRPr="00274EAD" w:rsidRDefault="00274EAD" w:rsidP="00274EAD">
      <w:pPr>
        <w:spacing w:after="0" w:line="240" w:lineRule="auto"/>
        <w:rPr>
          <w:rFonts w:ascii="Times New Roman" w:hAnsi="Times New Roman" w:cs="Times New Roman"/>
          <w:b/>
          <w:sz w:val="28"/>
          <w:szCs w:val="28"/>
          <w:lang w:val="fr-CH"/>
        </w:rPr>
      </w:pPr>
      <w:r w:rsidRPr="00274EAD">
        <w:rPr>
          <w:rFonts w:ascii="Times New Roman" w:hAnsi="Times New Roman" w:cs="Times New Roman"/>
          <w:b/>
          <w:sz w:val="28"/>
          <w:szCs w:val="28"/>
          <w:lang w:val="fr-CH"/>
        </w:rPr>
        <w:t>RAPPORT SUR L'ÉTAT D'AVANCEMENT DE LA CARTE ROUTIÈRE AFRICAINE</w:t>
      </w:r>
    </w:p>
    <w:p w14:paraId="445A38E7" w14:textId="77777777" w:rsidR="00274EAD" w:rsidRPr="00274EAD" w:rsidRDefault="00274EAD" w:rsidP="00274EAD">
      <w:pPr>
        <w:spacing w:after="0" w:line="240" w:lineRule="auto"/>
        <w:rPr>
          <w:rFonts w:ascii="Times New Roman" w:hAnsi="Times New Roman" w:cs="Times New Roman"/>
          <w:b/>
          <w:sz w:val="28"/>
          <w:szCs w:val="28"/>
          <w:lang w:val="fr-CH"/>
        </w:rPr>
      </w:pPr>
      <w:r w:rsidRPr="00274EAD">
        <w:rPr>
          <w:rFonts w:ascii="Times New Roman" w:hAnsi="Times New Roman" w:cs="Times New Roman"/>
          <w:b/>
          <w:sz w:val="28"/>
          <w:szCs w:val="28"/>
          <w:lang w:val="fr-CH"/>
        </w:rPr>
        <w:t>Janvier à décembre 2017</w:t>
      </w:r>
    </w:p>
    <w:p w14:paraId="5445BF46" w14:textId="77777777" w:rsidR="00274EAD" w:rsidRPr="00274EAD" w:rsidRDefault="00274EAD" w:rsidP="00274EAD">
      <w:pPr>
        <w:spacing w:after="0" w:line="240" w:lineRule="auto"/>
        <w:rPr>
          <w:rFonts w:ascii="Times New Roman" w:hAnsi="Times New Roman" w:cs="Times New Roman"/>
          <w:b/>
          <w:color w:val="FF0000"/>
          <w:sz w:val="28"/>
          <w:szCs w:val="28"/>
          <w:lang w:val="fr-CH"/>
        </w:rPr>
      </w:pPr>
    </w:p>
    <w:p w14:paraId="12C7B39A"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1241E640" w14:textId="77777777" w:rsidR="00274EAD" w:rsidRPr="00274EAD" w:rsidRDefault="00274EAD" w:rsidP="00274EAD">
      <w:pPr>
        <w:spacing w:after="0" w:line="240" w:lineRule="auto"/>
        <w:jc w:val="both"/>
        <w:rPr>
          <w:rFonts w:ascii="Times New Roman" w:hAnsi="Times New Roman" w:cs="Times New Roman"/>
          <w:sz w:val="28"/>
          <w:szCs w:val="28"/>
          <w:lang w:val="fr-CH"/>
        </w:rPr>
      </w:pPr>
      <w:r w:rsidRPr="00274EAD">
        <w:rPr>
          <w:rFonts w:ascii="Times New Roman" w:hAnsi="Times New Roman" w:cs="Times New Roman"/>
          <w:sz w:val="28"/>
          <w:szCs w:val="28"/>
          <w:lang w:val="fr-CH"/>
        </w:rPr>
        <w:t>INTRODUCTION</w:t>
      </w:r>
    </w:p>
    <w:p w14:paraId="052AEDC9" w14:textId="77777777" w:rsidR="00274EAD" w:rsidRPr="00274EAD" w:rsidRDefault="00274EAD" w:rsidP="00274EAD">
      <w:pPr>
        <w:spacing w:after="0" w:line="240" w:lineRule="auto"/>
        <w:jc w:val="both"/>
        <w:rPr>
          <w:rFonts w:ascii="Times New Roman" w:hAnsi="Times New Roman" w:cs="Times New Roman"/>
          <w:sz w:val="28"/>
          <w:szCs w:val="28"/>
          <w:lang w:val="fr-CH"/>
        </w:rPr>
      </w:pPr>
      <w:r w:rsidRPr="00274EAD">
        <w:rPr>
          <w:rFonts w:ascii="Times New Roman" w:hAnsi="Times New Roman" w:cs="Times New Roman"/>
          <w:sz w:val="28"/>
          <w:szCs w:val="28"/>
          <w:lang w:val="fr-CH"/>
        </w:rPr>
        <w:t xml:space="preserve">Au cours des six derniers mois, la Fédération internationale des Sociétés de la Croix-Rouge et du Croissant-Rouge (FICR) en Afrique a continué de suivre l'orientation et les étapes spécifiques définies dans la "FICR en Afrique, Feuille de route 2017 - 2020". </w:t>
      </w:r>
    </w:p>
    <w:p w14:paraId="5AF0E4E6"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668A4430" w14:textId="77777777" w:rsidR="00274EAD" w:rsidRPr="00274EAD" w:rsidRDefault="00274EAD" w:rsidP="00274EAD">
      <w:pPr>
        <w:spacing w:after="0" w:line="240" w:lineRule="auto"/>
        <w:jc w:val="both"/>
        <w:rPr>
          <w:rFonts w:ascii="Times New Roman" w:hAnsi="Times New Roman" w:cs="Times New Roman"/>
          <w:sz w:val="28"/>
          <w:szCs w:val="28"/>
          <w:lang w:val="fr-CH"/>
        </w:rPr>
      </w:pPr>
      <w:r w:rsidRPr="00274EAD">
        <w:rPr>
          <w:rFonts w:ascii="Times New Roman" w:hAnsi="Times New Roman" w:cs="Times New Roman"/>
          <w:sz w:val="28"/>
          <w:szCs w:val="28"/>
          <w:lang w:val="fr-CH"/>
        </w:rPr>
        <w:t xml:space="preserve">Les résultats de l'évaluation des progrès ont guidé la planification et la prise de décisions au cours de la période visée par le présent rapport. La planification a également été éclairée par les mesures correctives identifiées au cours du premier semestre de 2017 et décrites dans le " Rapport d'étape sur la Feuille de route, janvier à juin 2017 ". </w:t>
      </w:r>
    </w:p>
    <w:p w14:paraId="6166D035"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404E7B3D" w14:textId="77777777" w:rsidR="00274EAD" w:rsidRPr="00274EAD" w:rsidRDefault="00274EAD" w:rsidP="00274EAD">
      <w:pPr>
        <w:spacing w:after="0" w:line="240" w:lineRule="auto"/>
        <w:jc w:val="both"/>
        <w:rPr>
          <w:rFonts w:ascii="Times New Roman" w:hAnsi="Times New Roman" w:cs="Times New Roman"/>
          <w:sz w:val="28"/>
          <w:szCs w:val="28"/>
          <w:lang w:val="fr-CH"/>
        </w:rPr>
      </w:pPr>
      <w:r w:rsidRPr="00274EAD">
        <w:rPr>
          <w:rFonts w:ascii="Times New Roman" w:hAnsi="Times New Roman" w:cs="Times New Roman"/>
          <w:sz w:val="28"/>
          <w:szCs w:val="28"/>
          <w:lang w:val="fr-CH"/>
        </w:rPr>
        <w:t xml:space="preserve">Plus précisément, le dernier rapport indiquait que des progrès satisfaisants avaient été accomplis en ce qui concerne les jalons relatifs à la santé et aux soins, ainsi que la réduction des risques de catastrophe. Les éléments qui avaient porté fruit dans ces domaines d'intervention ont été renforcés, comme la collaboration continue par l'entremise de groupes de leadership et de responsabilisation partagés. Diverses parties prenantes ont également été réunies pour promouvoir un partenariat et une compréhension commune autour du renforcement de la résilience, de la lutte contre le choléra et de la réponse à la crise alimentaire. Le précédent rapport d'étape faisait également remarquer que peu de progrès avaient été accomplis par rapport aux jalons fixés pour atteindre les objectifs en matière de logement. </w:t>
      </w:r>
    </w:p>
    <w:p w14:paraId="1DDAA1EA"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67823DCF" w14:textId="77777777" w:rsidR="00274EAD" w:rsidRPr="00274EAD" w:rsidRDefault="00274EAD" w:rsidP="00274EAD">
      <w:pPr>
        <w:spacing w:after="0" w:line="240" w:lineRule="auto"/>
        <w:jc w:val="both"/>
        <w:rPr>
          <w:rFonts w:ascii="Times New Roman" w:hAnsi="Times New Roman" w:cs="Times New Roman"/>
          <w:sz w:val="28"/>
          <w:szCs w:val="28"/>
          <w:lang w:val="fr-CH"/>
        </w:rPr>
      </w:pPr>
      <w:r w:rsidRPr="00274EAD">
        <w:rPr>
          <w:rFonts w:ascii="Times New Roman" w:hAnsi="Times New Roman" w:cs="Times New Roman"/>
          <w:sz w:val="28"/>
          <w:szCs w:val="28"/>
          <w:lang w:val="fr-CH"/>
        </w:rPr>
        <w:t xml:space="preserve">Nous sommes heureux d'annoncer qu'au cours du dernier mois de 2017, la FICR et la Croix-Rouge luxembourgeoise sont parvenues à un accord visant à accroître considérablement la capacité des Sociétés nationales à répondre aux besoins en matière de logement. De même, les progrès vers des stratégies de mise en œuvre visant à renforcer le développement des Sociétés nationales et la gestion des catastrophes ont été soutenus. </w:t>
      </w:r>
    </w:p>
    <w:p w14:paraId="0A8A2A0F"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717C3E97" w14:textId="77777777" w:rsidR="00274EAD" w:rsidRPr="00274EAD" w:rsidRDefault="00274EAD" w:rsidP="00274EAD">
      <w:pPr>
        <w:spacing w:after="0" w:line="240" w:lineRule="auto"/>
        <w:jc w:val="both"/>
        <w:rPr>
          <w:rFonts w:ascii="Times New Roman" w:hAnsi="Times New Roman" w:cs="Times New Roman"/>
          <w:sz w:val="28"/>
          <w:szCs w:val="28"/>
          <w:lang w:val="fr-CH"/>
        </w:rPr>
      </w:pPr>
      <w:r w:rsidRPr="00274EAD">
        <w:rPr>
          <w:rFonts w:ascii="Times New Roman" w:hAnsi="Times New Roman" w:cs="Times New Roman"/>
          <w:sz w:val="28"/>
          <w:szCs w:val="28"/>
          <w:lang w:val="fr-CH"/>
        </w:rPr>
        <w:t>PROPOSITION DE VALEUR ET CONTEXTE</w:t>
      </w:r>
    </w:p>
    <w:p w14:paraId="467A0916" w14:textId="77777777" w:rsidR="00274EAD" w:rsidRPr="00274EAD" w:rsidRDefault="00274EAD" w:rsidP="00274EAD">
      <w:pPr>
        <w:spacing w:after="0" w:line="240" w:lineRule="auto"/>
        <w:jc w:val="both"/>
        <w:rPr>
          <w:rFonts w:ascii="Times New Roman" w:hAnsi="Times New Roman" w:cs="Times New Roman"/>
          <w:sz w:val="28"/>
          <w:szCs w:val="28"/>
          <w:lang w:val="fr-CH"/>
        </w:rPr>
      </w:pPr>
      <w:r w:rsidRPr="00274EAD">
        <w:rPr>
          <w:rFonts w:ascii="Times New Roman" w:hAnsi="Times New Roman" w:cs="Times New Roman"/>
          <w:sz w:val="28"/>
          <w:szCs w:val="28"/>
          <w:lang w:val="fr-CH"/>
        </w:rPr>
        <w:t xml:space="preserve">Dans le dernier rapport d'étape, la Fédération a reconnu que notre proposition de valeur unique concernant la programmation transfrontalière n'avait pas encore été réalisée. Bien qu'aucun nouveau projet transfrontalier n'ait été mis en œuvre au second semestre 2017, les partenaires du Mouvement se sont réunis pour faire </w:t>
      </w:r>
      <w:r w:rsidRPr="00274EAD">
        <w:rPr>
          <w:rFonts w:ascii="Times New Roman" w:hAnsi="Times New Roman" w:cs="Times New Roman"/>
          <w:sz w:val="28"/>
          <w:szCs w:val="28"/>
          <w:lang w:val="fr-CH"/>
        </w:rPr>
        <w:lastRenderedPageBreak/>
        <w:t xml:space="preserve">des présentations consolidées décrivant une stratégie cohérente et des activités transfrontalières au DEVCO et à ECHO, pour l'Afrique de l'Ouest, le lac Tchad et l'Afrique australe. Nous espérons qu'il s'agit là d'un signe de progrès, notamment d'une planification mieux coordonnée entre les Sociétés nationales et en ce qui concerne le financement futur. </w:t>
      </w:r>
    </w:p>
    <w:p w14:paraId="52BB6FED"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7BC1B641" w14:textId="0B88CBE7" w:rsidR="00274EAD" w:rsidRDefault="00274EAD" w:rsidP="00274EAD">
      <w:pPr>
        <w:spacing w:after="0" w:line="240" w:lineRule="auto"/>
        <w:jc w:val="both"/>
        <w:rPr>
          <w:rFonts w:ascii="Times New Roman" w:hAnsi="Times New Roman" w:cs="Times New Roman"/>
          <w:sz w:val="28"/>
          <w:szCs w:val="28"/>
          <w:lang w:val="fr-CH"/>
        </w:rPr>
      </w:pPr>
      <w:r w:rsidRPr="00274EAD">
        <w:rPr>
          <w:rFonts w:ascii="Times New Roman" w:hAnsi="Times New Roman" w:cs="Times New Roman"/>
          <w:sz w:val="28"/>
          <w:szCs w:val="28"/>
          <w:lang w:val="fr-CH"/>
        </w:rPr>
        <w:t xml:space="preserve">La forte coordination du Mouvement s'est poursuivie au cours du second semestre 2017, avec la conclusion d'accords pour un "plan de mouvement unique" au Sud-Soudan et le renouvellement du financement partagé entre le CICR et la Fédération internationale des Sociétés de la Croix-Rouge et du Croissant-Rouge </w:t>
      </w:r>
      <w:bookmarkStart w:id="0" w:name="_GoBack"/>
      <w:bookmarkEnd w:id="0"/>
      <w:r w:rsidRPr="00274EAD">
        <w:rPr>
          <w:rFonts w:ascii="Times New Roman" w:hAnsi="Times New Roman" w:cs="Times New Roman"/>
          <w:sz w:val="28"/>
          <w:szCs w:val="28"/>
          <w:lang w:val="fr-CH"/>
        </w:rPr>
        <w:t xml:space="preserve">en 2018 dans le nord-est du Nigéria. </w:t>
      </w:r>
    </w:p>
    <w:p w14:paraId="1A031557" w14:textId="513D8B34" w:rsidR="00D84C6F" w:rsidRDefault="00D84C6F" w:rsidP="00274EAD">
      <w:pPr>
        <w:spacing w:after="0" w:line="240" w:lineRule="auto"/>
        <w:jc w:val="both"/>
        <w:rPr>
          <w:rFonts w:ascii="Times New Roman" w:hAnsi="Times New Roman" w:cs="Times New Roman"/>
          <w:sz w:val="28"/>
          <w:szCs w:val="28"/>
          <w:lang w:val="fr-CH"/>
        </w:rPr>
      </w:pPr>
    </w:p>
    <w:p w14:paraId="41122F45" w14:textId="71AC3AB0" w:rsidR="00D84C6F" w:rsidRDefault="00D84C6F" w:rsidP="00274EAD">
      <w:pPr>
        <w:spacing w:after="0" w:line="240" w:lineRule="auto"/>
        <w:jc w:val="both"/>
        <w:rPr>
          <w:rFonts w:ascii="Times New Roman" w:hAnsi="Times New Roman" w:cs="Times New Roman"/>
          <w:sz w:val="28"/>
          <w:szCs w:val="28"/>
          <w:lang w:val="fr-CH"/>
        </w:rPr>
      </w:pPr>
      <w:r w:rsidRPr="009B2080">
        <w:rPr>
          <w:rFonts w:ascii="Times New Roman" w:hAnsi="Times New Roman" w:cs="Times New Roman"/>
          <w:noProof/>
          <w:sz w:val="28"/>
          <w:szCs w:val="28"/>
        </w:rPr>
        <w:drawing>
          <wp:inline distT="0" distB="0" distL="0" distR="0" wp14:anchorId="77545CDB" wp14:editId="53D8A742">
            <wp:extent cx="5731510" cy="3336290"/>
            <wp:effectExtent l="0" t="0" r="2540" b="0"/>
            <wp:docPr id="1" name="Chart 1">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D949F6" w14:textId="77777777" w:rsidR="00D84C6F" w:rsidRPr="00274EAD" w:rsidRDefault="00D84C6F" w:rsidP="00274EAD">
      <w:pPr>
        <w:spacing w:after="0" w:line="240" w:lineRule="auto"/>
        <w:jc w:val="both"/>
        <w:rPr>
          <w:rFonts w:ascii="Times New Roman" w:hAnsi="Times New Roman" w:cs="Times New Roman"/>
          <w:sz w:val="28"/>
          <w:szCs w:val="28"/>
          <w:lang w:val="fr-CH"/>
        </w:rPr>
      </w:pPr>
    </w:p>
    <w:p w14:paraId="5179CFAD"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492107A0"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132E4E8F"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728877B9"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7865E1C0"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7792722A"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4832B95B"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5CFDBAE3"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0CF786B6"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0EF7AB58"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4E74FD6C"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792B09BF"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0321EBB6"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475C5A64" w14:textId="77777777" w:rsidR="00274EAD" w:rsidRPr="00274EAD" w:rsidRDefault="00274EAD" w:rsidP="00274EAD">
      <w:pPr>
        <w:spacing w:after="0" w:line="240" w:lineRule="auto"/>
        <w:jc w:val="both"/>
        <w:rPr>
          <w:rFonts w:ascii="Times New Roman" w:hAnsi="Times New Roman" w:cs="Times New Roman"/>
          <w:sz w:val="28"/>
          <w:szCs w:val="28"/>
          <w:lang w:val="fr-CH"/>
        </w:rPr>
      </w:pPr>
      <w:r w:rsidRPr="00274EAD">
        <w:rPr>
          <w:rFonts w:ascii="Times New Roman" w:hAnsi="Times New Roman" w:cs="Times New Roman"/>
          <w:sz w:val="28"/>
          <w:szCs w:val="28"/>
          <w:lang w:val="fr-CH"/>
        </w:rPr>
        <w:lastRenderedPageBreak/>
        <w:t xml:space="preserve">L'analyse du contexte qui a été formulée dans la Feuille de route continue de décrire avec précision notre environnement opérationnel. Alors que la crise alimentaire est devenue plus localisée dans certaines parties de la Somalie et de </w:t>
      </w:r>
      <w:proofErr w:type="gramStart"/>
      <w:r w:rsidRPr="00274EAD">
        <w:rPr>
          <w:rFonts w:ascii="Times New Roman" w:hAnsi="Times New Roman" w:cs="Times New Roman"/>
          <w:sz w:val="28"/>
          <w:szCs w:val="28"/>
          <w:lang w:val="fr-CH"/>
        </w:rPr>
        <w:t>l'Éthiopie</w:t>
      </w:r>
      <w:proofErr w:type="gramEnd"/>
      <w:r w:rsidRPr="00274EAD">
        <w:rPr>
          <w:rFonts w:ascii="Times New Roman" w:hAnsi="Times New Roman" w:cs="Times New Roman"/>
          <w:sz w:val="28"/>
          <w:szCs w:val="28"/>
          <w:lang w:val="fr-CH"/>
        </w:rPr>
        <w:t>, le contexte humanitaire continue d'être désastreux au Sud-Soudan, dans le nord-est du Nigéria, en République centrafricaine (RCA) et en Somalie. Au second semestre 2017, plusieurs urgences récurrentes ont dépassé nos attentes. La crise des réfugiés en Ouganda a été aggravée par un nouvel afflux de centaines de personnes fuyant le conflit en République démocratique du Congo (RDC). Il peut atteindre un point de rupture et avoir des conséquences imprévues. Selon le HCR, il est urgent d'augmenter les ressources pour renforcer la capacité d'accueil et aider les nouveaux arrivants. Ceci est particulièrement important, étant donné que l'Ouganda accueille déjà le plus grand nombre de réfugiés en Afrique - environ 1,4 million au total.</w:t>
      </w:r>
    </w:p>
    <w:p w14:paraId="3D048DCA" w14:textId="77777777" w:rsidR="00274EAD" w:rsidRPr="00274EAD" w:rsidRDefault="00274EAD" w:rsidP="00274EAD">
      <w:pPr>
        <w:spacing w:after="0" w:line="240" w:lineRule="auto"/>
        <w:jc w:val="both"/>
        <w:rPr>
          <w:rFonts w:ascii="Times New Roman" w:hAnsi="Times New Roman" w:cs="Times New Roman"/>
          <w:sz w:val="28"/>
          <w:szCs w:val="28"/>
          <w:lang w:val="fr-CH"/>
        </w:rPr>
      </w:pPr>
      <w:r w:rsidRPr="00274EAD">
        <w:rPr>
          <w:rFonts w:ascii="Times New Roman" w:hAnsi="Times New Roman" w:cs="Times New Roman"/>
          <w:sz w:val="28"/>
          <w:szCs w:val="28"/>
          <w:lang w:val="fr-CH"/>
        </w:rPr>
        <w:t xml:space="preserve">Une épidémie de peste pneumonique à Madagascar a nécessité un détournement de ressources, car c'était à la fois une forme de peste moins fréquente que d'habitude et en dehors de la saison normale de la peste (avril). </w:t>
      </w:r>
    </w:p>
    <w:p w14:paraId="72C05898"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5813B3BB" w14:textId="77777777" w:rsidR="00274EAD" w:rsidRPr="00274EAD" w:rsidRDefault="00274EAD" w:rsidP="00274EAD">
      <w:pPr>
        <w:spacing w:after="0" w:line="240" w:lineRule="auto"/>
        <w:jc w:val="both"/>
        <w:rPr>
          <w:rFonts w:ascii="Times New Roman" w:hAnsi="Times New Roman" w:cs="Times New Roman"/>
          <w:sz w:val="28"/>
          <w:szCs w:val="28"/>
          <w:lang w:val="fr-CH"/>
        </w:rPr>
      </w:pPr>
      <w:r w:rsidRPr="00274EAD">
        <w:rPr>
          <w:rFonts w:ascii="Times New Roman" w:hAnsi="Times New Roman" w:cs="Times New Roman"/>
          <w:sz w:val="28"/>
          <w:szCs w:val="28"/>
          <w:lang w:val="fr-CH"/>
        </w:rPr>
        <w:t xml:space="preserve">Si la Feuille de route et le rapport d'avancement font référence à la situation en RDC, elle </w:t>
      </w:r>
      <w:proofErr w:type="gramStart"/>
      <w:r w:rsidRPr="00274EAD">
        <w:rPr>
          <w:rFonts w:ascii="Times New Roman" w:hAnsi="Times New Roman" w:cs="Times New Roman"/>
          <w:sz w:val="28"/>
          <w:szCs w:val="28"/>
          <w:lang w:val="fr-CH"/>
        </w:rPr>
        <w:t>n' a</w:t>
      </w:r>
      <w:proofErr w:type="gramEnd"/>
      <w:r w:rsidRPr="00274EAD">
        <w:rPr>
          <w:rFonts w:ascii="Times New Roman" w:hAnsi="Times New Roman" w:cs="Times New Roman"/>
          <w:sz w:val="28"/>
          <w:szCs w:val="28"/>
          <w:lang w:val="fr-CH"/>
        </w:rPr>
        <w:t xml:space="preserve"> pas été identifiée comme un facteur moteur pour le continent. A l'heure actuelle, la violence, une flambée de choléra, l'effondrement du système de santé, les inondations, l'arrivée de réfugiés et l'augmentation de la population déplacée à l'intérieur du pays ont concouru à faire de la RDC un moteur des besoins humanitaires dans toute l'Afrique centrale et probablement la situation d'urgence la plus difficile en 2018. </w:t>
      </w:r>
    </w:p>
    <w:p w14:paraId="06E2F829"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4C56ED99" w14:textId="77777777" w:rsidR="00274EAD" w:rsidRPr="00274EAD" w:rsidRDefault="00274EAD" w:rsidP="00274EAD">
      <w:pPr>
        <w:spacing w:after="0" w:line="240" w:lineRule="auto"/>
        <w:jc w:val="both"/>
        <w:rPr>
          <w:rFonts w:ascii="Times New Roman" w:hAnsi="Times New Roman" w:cs="Times New Roman"/>
          <w:sz w:val="28"/>
          <w:szCs w:val="28"/>
          <w:lang w:val="fr-CH"/>
        </w:rPr>
      </w:pPr>
      <w:r w:rsidRPr="00274EAD">
        <w:rPr>
          <w:rFonts w:ascii="Times New Roman" w:hAnsi="Times New Roman" w:cs="Times New Roman"/>
          <w:sz w:val="28"/>
          <w:szCs w:val="28"/>
          <w:lang w:val="fr-CH"/>
        </w:rPr>
        <w:t xml:space="preserve">Parmi les autres tendances émergentes relevées dans le dernier rapport d'étape, on peut citer l'explosion de la population des jeunes, l'urbanisation accélérée, la localisation continue de l'aide et les possibilités accrues avec le secteur privé, en particulier dans le domaine de la santé. Une nouvelle stratégie de logement pour 2018 inclura des éléments sur la résilience urbaine. Nous espérons également recueillir des fonds pour renforcer les capacités des Sociétés nationales afin de les aider à répondre aux besoins des populations urbaines. </w:t>
      </w:r>
    </w:p>
    <w:p w14:paraId="3DE5E2F8"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37411C83" w14:textId="77777777" w:rsidR="00274EAD" w:rsidRPr="00274EAD" w:rsidRDefault="00274EAD" w:rsidP="00274EAD">
      <w:pPr>
        <w:spacing w:after="0" w:line="240" w:lineRule="auto"/>
        <w:jc w:val="both"/>
        <w:rPr>
          <w:rFonts w:ascii="Times New Roman" w:hAnsi="Times New Roman" w:cs="Times New Roman"/>
          <w:sz w:val="28"/>
          <w:szCs w:val="28"/>
          <w:lang w:val="fr-CH"/>
        </w:rPr>
      </w:pPr>
      <w:r w:rsidRPr="00274EAD">
        <w:rPr>
          <w:rFonts w:ascii="Times New Roman" w:hAnsi="Times New Roman" w:cs="Times New Roman"/>
          <w:sz w:val="28"/>
          <w:szCs w:val="28"/>
          <w:lang w:val="fr-CH"/>
        </w:rPr>
        <w:t xml:space="preserve">Nous sommes heureux d'annoncer que Médecins sans Frontières a récemment cédé une grande installation de traitement de l'eau à la Croix-Rouge ougandaise. Il s'agit d'un excellent exemple de localisation de l'aide, qui témoigne de la confiance dans la Société nationale et démontre que lorsque d'autres partent, la Croix-Rouge reste derrière. Il </w:t>
      </w:r>
      <w:proofErr w:type="gramStart"/>
      <w:r w:rsidRPr="00274EAD">
        <w:rPr>
          <w:rFonts w:ascii="Times New Roman" w:hAnsi="Times New Roman" w:cs="Times New Roman"/>
          <w:sz w:val="28"/>
          <w:szCs w:val="28"/>
          <w:lang w:val="fr-CH"/>
        </w:rPr>
        <w:t>n' y</w:t>
      </w:r>
      <w:proofErr w:type="gramEnd"/>
      <w:r w:rsidRPr="00274EAD">
        <w:rPr>
          <w:rFonts w:ascii="Times New Roman" w:hAnsi="Times New Roman" w:cs="Times New Roman"/>
          <w:sz w:val="28"/>
          <w:szCs w:val="28"/>
          <w:lang w:val="fr-CH"/>
        </w:rPr>
        <w:t xml:space="preserve"> a pas de meilleure preuve pour notre message clé omniprésent de notre proposition de valeur, à savoir que nous sommes là avant, pendant et après les crises. </w:t>
      </w:r>
    </w:p>
    <w:p w14:paraId="57EF8DF4" w14:textId="77777777" w:rsidR="00274EAD" w:rsidRPr="00274EAD" w:rsidRDefault="00274EAD" w:rsidP="00274EAD">
      <w:pPr>
        <w:spacing w:after="0" w:line="240" w:lineRule="auto"/>
        <w:jc w:val="both"/>
        <w:rPr>
          <w:rFonts w:ascii="Times New Roman" w:hAnsi="Times New Roman" w:cs="Times New Roman"/>
          <w:sz w:val="28"/>
          <w:szCs w:val="28"/>
          <w:lang w:val="fr-CH"/>
        </w:rPr>
      </w:pPr>
    </w:p>
    <w:p w14:paraId="1C25A49B" w14:textId="77777777" w:rsidR="00274EAD" w:rsidRPr="00274EAD" w:rsidRDefault="00274EAD" w:rsidP="00274EAD">
      <w:pPr>
        <w:spacing w:after="0" w:line="240" w:lineRule="auto"/>
        <w:jc w:val="both"/>
        <w:rPr>
          <w:rFonts w:ascii="Times New Roman" w:hAnsi="Times New Roman" w:cs="Times New Roman"/>
          <w:sz w:val="28"/>
          <w:szCs w:val="28"/>
        </w:rPr>
      </w:pPr>
      <w:r w:rsidRPr="00274EAD">
        <w:rPr>
          <w:rFonts w:ascii="Times New Roman" w:hAnsi="Times New Roman" w:cs="Times New Roman"/>
          <w:sz w:val="28"/>
          <w:szCs w:val="28"/>
          <w:lang w:val="fr-CH"/>
        </w:rPr>
        <w:lastRenderedPageBreak/>
        <w:t xml:space="preserve">La sensibilisation et le développement des entreprises en faveur de l'aide humanitaire et du développement avec le secteur privé se sont poursuivis et devraient se développer en 2018. </w:t>
      </w:r>
      <w:r w:rsidRPr="00274EAD">
        <w:rPr>
          <w:rFonts w:ascii="Times New Roman" w:hAnsi="Times New Roman" w:cs="Times New Roman"/>
          <w:sz w:val="28"/>
          <w:szCs w:val="28"/>
        </w:rPr>
        <w:t xml:space="preserve">MPharma a </w:t>
      </w:r>
      <w:proofErr w:type="spellStart"/>
      <w:r w:rsidRPr="00274EAD">
        <w:rPr>
          <w:rFonts w:ascii="Times New Roman" w:hAnsi="Times New Roman" w:cs="Times New Roman"/>
          <w:sz w:val="28"/>
          <w:szCs w:val="28"/>
        </w:rPr>
        <w:t>élargi</w:t>
      </w:r>
      <w:proofErr w:type="spellEnd"/>
      <w:r w:rsidRPr="00274EAD">
        <w:rPr>
          <w:rFonts w:ascii="Times New Roman" w:hAnsi="Times New Roman" w:cs="Times New Roman"/>
          <w:sz w:val="28"/>
          <w:szCs w:val="28"/>
        </w:rPr>
        <w:t xml:space="preserve"> </w:t>
      </w:r>
      <w:proofErr w:type="spellStart"/>
      <w:r w:rsidRPr="00274EAD">
        <w:rPr>
          <w:rFonts w:ascii="Times New Roman" w:hAnsi="Times New Roman" w:cs="Times New Roman"/>
          <w:sz w:val="28"/>
          <w:szCs w:val="28"/>
        </w:rPr>
        <w:t>sa</w:t>
      </w:r>
      <w:proofErr w:type="spellEnd"/>
      <w:r w:rsidRPr="00274EAD">
        <w:rPr>
          <w:rFonts w:ascii="Times New Roman" w:hAnsi="Times New Roman" w:cs="Times New Roman"/>
          <w:sz w:val="28"/>
          <w:szCs w:val="28"/>
        </w:rPr>
        <w:t xml:space="preserve"> </w:t>
      </w:r>
      <w:proofErr w:type="spellStart"/>
      <w:r w:rsidRPr="00274EAD">
        <w:rPr>
          <w:rFonts w:ascii="Times New Roman" w:hAnsi="Times New Roman" w:cs="Times New Roman"/>
          <w:sz w:val="28"/>
          <w:szCs w:val="28"/>
        </w:rPr>
        <w:t>partne</w:t>
      </w:r>
      <w:proofErr w:type="spellEnd"/>
    </w:p>
    <w:p w14:paraId="6B28956A" w14:textId="77777777" w:rsidR="00274EAD" w:rsidRPr="00274EAD" w:rsidRDefault="00274EAD" w:rsidP="00274EAD">
      <w:pPr>
        <w:spacing w:after="0" w:line="240" w:lineRule="auto"/>
        <w:jc w:val="both"/>
        <w:rPr>
          <w:rFonts w:ascii="Times New Roman" w:hAnsi="Times New Roman" w:cs="Times New Roman"/>
          <w:sz w:val="28"/>
          <w:szCs w:val="28"/>
        </w:rPr>
      </w:pPr>
    </w:p>
    <w:p w14:paraId="69212291" w14:textId="77777777" w:rsidR="00AB195D" w:rsidRPr="00274EAD" w:rsidRDefault="00AB195D" w:rsidP="00274EAD">
      <w:pPr>
        <w:spacing w:after="0" w:line="240" w:lineRule="auto"/>
        <w:jc w:val="both"/>
        <w:rPr>
          <w:rFonts w:ascii="Arial" w:hAnsi="Arial" w:cs="Arial"/>
          <w:lang w:val="fr-CH"/>
        </w:rPr>
      </w:pPr>
    </w:p>
    <w:p w14:paraId="37381554" w14:textId="77777777" w:rsidR="00AB195D" w:rsidRPr="00274EAD" w:rsidRDefault="00AB195D" w:rsidP="00274EAD">
      <w:pPr>
        <w:spacing w:after="0" w:line="240" w:lineRule="auto"/>
        <w:jc w:val="both"/>
        <w:rPr>
          <w:rFonts w:ascii="Arial" w:hAnsi="Arial" w:cs="Arial"/>
          <w:lang w:val="fr-CH"/>
        </w:rPr>
      </w:pPr>
    </w:p>
    <w:p w14:paraId="7D970CA1" w14:textId="77777777" w:rsidR="00AB195D" w:rsidRPr="00274EAD" w:rsidRDefault="00AB195D" w:rsidP="00274EAD">
      <w:pPr>
        <w:spacing w:after="0" w:line="240" w:lineRule="auto"/>
        <w:jc w:val="both"/>
        <w:rPr>
          <w:rFonts w:ascii="Arial" w:hAnsi="Arial" w:cs="Arial"/>
          <w:lang w:val="fr-CH"/>
        </w:rPr>
      </w:pPr>
    </w:p>
    <w:p w14:paraId="26CC89E1" w14:textId="77777777" w:rsidR="00AB195D" w:rsidRPr="00274EAD" w:rsidRDefault="00AB195D" w:rsidP="00274EAD">
      <w:pPr>
        <w:spacing w:after="0" w:line="240" w:lineRule="auto"/>
        <w:jc w:val="both"/>
        <w:rPr>
          <w:rFonts w:ascii="Arial" w:hAnsi="Arial" w:cs="Arial"/>
          <w:lang w:val="fr-CH"/>
        </w:rPr>
      </w:pPr>
    </w:p>
    <w:p w14:paraId="0FD24D4A" w14:textId="77777777" w:rsidR="00AB195D" w:rsidRPr="00274EAD" w:rsidRDefault="00AB195D" w:rsidP="00274EAD">
      <w:pPr>
        <w:spacing w:after="0" w:line="240" w:lineRule="auto"/>
        <w:jc w:val="both"/>
        <w:rPr>
          <w:rFonts w:ascii="Arial" w:hAnsi="Arial" w:cs="Arial"/>
          <w:lang w:val="fr-CH"/>
        </w:rPr>
      </w:pPr>
    </w:p>
    <w:p w14:paraId="11EBCD7A" w14:textId="77777777" w:rsidR="00AB195D" w:rsidRPr="00274EAD" w:rsidRDefault="00AB195D" w:rsidP="00274EAD">
      <w:pPr>
        <w:spacing w:after="0" w:line="240" w:lineRule="auto"/>
        <w:jc w:val="both"/>
        <w:rPr>
          <w:rFonts w:ascii="Arial" w:hAnsi="Arial" w:cs="Arial"/>
          <w:lang w:val="fr-CH"/>
        </w:rPr>
      </w:pPr>
    </w:p>
    <w:p w14:paraId="1E3680A3" w14:textId="77777777" w:rsidR="00025AB5" w:rsidRPr="00274EAD" w:rsidRDefault="00025AB5" w:rsidP="00274EAD">
      <w:pPr>
        <w:spacing w:after="0" w:line="240" w:lineRule="auto"/>
        <w:jc w:val="both"/>
        <w:rPr>
          <w:rFonts w:ascii="Arial" w:hAnsi="Arial" w:cs="Arial"/>
          <w:lang w:val="fr-CH"/>
        </w:rPr>
      </w:pPr>
    </w:p>
    <w:p w14:paraId="2BF1B359" w14:textId="77777777" w:rsidR="00025AB5" w:rsidRPr="00274EAD" w:rsidRDefault="00025AB5" w:rsidP="00274EAD">
      <w:pPr>
        <w:spacing w:after="0" w:line="240" w:lineRule="auto"/>
        <w:jc w:val="both"/>
        <w:rPr>
          <w:rFonts w:ascii="Arial" w:hAnsi="Arial" w:cs="Arial"/>
          <w:sz w:val="24"/>
          <w:szCs w:val="24"/>
          <w:lang w:val="fr-CH"/>
        </w:rPr>
      </w:pPr>
    </w:p>
    <w:sectPr w:rsidR="00025AB5" w:rsidRPr="00274EA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86C4F" w14:textId="77777777" w:rsidR="00BE58A8" w:rsidRDefault="00BE58A8" w:rsidP="00126382">
      <w:pPr>
        <w:spacing w:after="0" w:line="240" w:lineRule="auto"/>
      </w:pPr>
      <w:r>
        <w:separator/>
      </w:r>
    </w:p>
  </w:endnote>
  <w:endnote w:type="continuationSeparator" w:id="0">
    <w:p w14:paraId="26DCA353" w14:textId="77777777" w:rsidR="00BE58A8" w:rsidRDefault="00BE58A8" w:rsidP="0012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ecilia LT Std Ligh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NeueLT Std">
    <w:altName w:val="Arial"/>
    <w:panose1 w:val="00000000000000000000"/>
    <w:charset w:val="00"/>
    <w:family w:val="roman"/>
    <w:notTrueType/>
    <w:pitch w:val="default"/>
    <w:sig w:usb0="00000003" w:usb1="00000000" w:usb2="00000000" w:usb3="00000000" w:csb0="00000001" w:csb1="00000000"/>
  </w:font>
  <w:font w:name="Segoe UI">
    <w:altName w:val="Courier New"/>
    <w:panose1 w:val="020B0502040204020203"/>
    <w:charset w:val="00"/>
    <w:family w:val="swiss"/>
    <w:pitch w:val="variable"/>
    <w:sig w:usb0="E10022FF" w:usb1="C000E47F" w:usb2="00000029" w:usb3="00000000" w:csb0="000001D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6F05A" w14:textId="77777777" w:rsidR="00993607" w:rsidRDefault="009936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64286" w14:textId="77777777" w:rsidR="00993607" w:rsidRDefault="009936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40C47" w14:textId="77777777" w:rsidR="00993607" w:rsidRDefault="00993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60538" w14:textId="77777777" w:rsidR="00BE58A8" w:rsidRDefault="00BE58A8" w:rsidP="00126382">
      <w:pPr>
        <w:spacing w:after="0" w:line="240" w:lineRule="auto"/>
      </w:pPr>
      <w:r>
        <w:separator/>
      </w:r>
    </w:p>
  </w:footnote>
  <w:footnote w:type="continuationSeparator" w:id="0">
    <w:p w14:paraId="765510B5" w14:textId="77777777" w:rsidR="00BE58A8" w:rsidRDefault="00BE58A8" w:rsidP="0012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CB9D3" w14:textId="73D925EA" w:rsidR="00993607" w:rsidRDefault="009936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22CE" w14:textId="6C908A26" w:rsidR="00993607" w:rsidRDefault="009936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CBFC" w14:textId="3AFF6BD9" w:rsidR="00993607" w:rsidRDefault="0099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46077"/>
    <w:multiLevelType w:val="hybridMultilevel"/>
    <w:tmpl w:val="FCDAD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B40982"/>
    <w:multiLevelType w:val="hybridMultilevel"/>
    <w:tmpl w:val="E154F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E016A8"/>
    <w:multiLevelType w:val="hybridMultilevel"/>
    <w:tmpl w:val="B574B3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6024AEE"/>
    <w:multiLevelType w:val="hybridMultilevel"/>
    <w:tmpl w:val="8528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B01867"/>
    <w:multiLevelType w:val="hybridMultilevel"/>
    <w:tmpl w:val="9894F7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6CE4981"/>
    <w:multiLevelType w:val="hybridMultilevel"/>
    <w:tmpl w:val="55089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2B427B"/>
    <w:multiLevelType w:val="hybridMultilevel"/>
    <w:tmpl w:val="35EE7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947A3D"/>
    <w:multiLevelType w:val="hybridMultilevel"/>
    <w:tmpl w:val="73B09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ACC"/>
    <w:rsid w:val="0001497F"/>
    <w:rsid w:val="00025AB5"/>
    <w:rsid w:val="00033694"/>
    <w:rsid w:val="0004166A"/>
    <w:rsid w:val="00042342"/>
    <w:rsid w:val="00045208"/>
    <w:rsid w:val="00050F98"/>
    <w:rsid w:val="00053724"/>
    <w:rsid w:val="0005495C"/>
    <w:rsid w:val="00057BE8"/>
    <w:rsid w:val="0006399F"/>
    <w:rsid w:val="0006453C"/>
    <w:rsid w:val="00065266"/>
    <w:rsid w:val="00065CC0"/>
    <w:rsid w:val="00073824"/>
    <w:rsid w:val="00073D09"/>
    <w:rsid w:val="0008205F"/>
    <w:rsid w:val="000900A2"/>
    <w:rsid w:val="0009522A"/>
    <w:rsid w:val="000964AB"/>
    <w:rsid w:val="000A3993"/>
    <w:rsid w:val="000B3F31"/>
    <w:rsid w:val="000B7321"/>
    <w:rsid w:val="000D13F9"/>
    <w:rsid w:val="000D6754"/>
    <w:rsid w:val="000D712F"/>
    <w:rsid w:val="000E27B9"/>
    <w:rsid w:val="000F20B1"/>
    <w:rsid w:val="000F2745"/>
    <w:rsid w:val="000F40B8"/>
    <w:rsid w:val="000F70C9"/>
    <w:rsid w:val="00100B35"/>
    <w:rsid w:val="00113895"/>
    <w:rsid w:val="00123645"/>
    <w:rsid w:val="001239B3"/>
    <w:rsid w:val="00123B91"/>
    <w:rsid w:val="0012611E"/>
    <w:rsid w:val="00126382"/>
    <w:rsid w:val="0013132B"/>
    <w:rsid w:val="00137633"/>
    <w:rsid w:val="00147039"/>
    <w:rsid w:val="0015633F"/>
    <w:rsid w:val="00166715"/>
    <w:rsid w:val="0017246D"/>
    <w:rsid w:val="001768C3"/>
    <w:rsid w:val="00184071"/>
    <w:rsid w:val="001941BA"/>
    <w:rsid w:val="00194417"/>
    <w:rsid w:val="001B4FEC"/>
    <w:rsid w:val="001B5FC1"/>
    <w:rsid w:val="001D6642"/>
    <w:rsid w:val="001F58D0"/>
    <w:rsid w:val="001F6BF2"/>
    <w:rsid w:val="00210631"/>
    <w:rsid w:val="00215E2F"/>
    <w:rsid w:val="002225D8"/>
    <w:rsid w:val="002246E6"/>
    <w:rsid w:val="00232F82"/>
    <w:rsid w:val="00234632"/>
    <w:rsid w:val="002419C7"/>
    <w:rsid w:val="00243360"/>
    <w:rsid w:val="002442EC"/>
    <w:rsid w:val="00260D6E"/>
    <w:rsid w:val="002673F6"/>
    <w:rsid w:val="002734E6"/>
    <w:rsid w:val="00274EAD"/>
    <w:rsid w:val="00280750"/>
    <w:rsid w:val="00285EC4"/>
    <w:rsid w:val="0029184E"/>
    <w:rsid w:val="00291A88"/>
    <w:rsid w:val="00294601"/>
    <w:rsid w:val="002B0847"/>
    <w:rsid w:val="002B220A"/>
    <w:rsid w:val="002B4FF6"/>
    <w:rsid w:val="002D2857"/>
    <w:rsid w:val="002D4A7A"/>
    <w:rsid w:val="002D5D27"/>
    <w:rsid w:val="002E1529"/>
    <w:rsid w:val="00302C53"/>
    <w:rsid w:val="003047BA"/>
    <w:rsid w:val="00307860"/>
    <w:rsid w:val="003276B6"/>
    <w:rsid w:val="00332B9E"/>
    <w:rsid w:val="00336BCC"/>
    <w:rsid w:val="00343DA5"/>
    <w:rsid w:val="00353323"/>
    <w:rsid w:val="00362467"/>
    <w:rsid w:val="00366859"/>
    <w:rsid w:val="00372285"/>
    <w:rsid w:val="0037413B"/>
    <w:rsid w:val="003743D5"/>
    <w:rsid w:val="00376BA7"/>
    <w:rsid w:val="003812B6"/>
    <w:rsid w:val="00384973"/>
    <w:rsid w:val="00390612"/>
    <w:rsid w:val="003A23E8"/>
    <w:rsid w:val="003B1E34"/>
    <w:rsid w:val="003B2230"/>
    <w:rsid w:val="003B608C"/>
    <w:rsid w:val="003C2D9B"/>
    <w:rsid w:val="003C2ED0"/>
    <w:rsid w:val="003C64A6"/>
    <w:rsid w:val="003C7C7B"/>
    <w:rsid w:val="003D6884"/>
    <w:rsid w:val="003D6B26"/>
    <w:rsid w:val="003E09D1"/>
    <w:rsid w:val="003E11EB"/>
    <w:rsid w:val="003E2DA6"/>
    <w:rsid w:val="003E4660"/>
    <w:rsid w:val="003F0239"/>
    <w:rsid w:val="003F0707"/>
    <w:rsid w:val="003F3C71"/>
    <w:rsid w:val="00402386"/>
    <w:rsid w:val="00407A93"/>
    <w:rsid w:val="00414A54"/>
    <w:rsid w:val="00416834"/>
    <w:rsid w:val="0042062C"/>
    <w:rsid w:val="00423574"/>
    <w:rsid w:val="00424D7D"/>
    <w:rsid w:val="0042734E"/>
    <w:rsid w:val="0043720C"/>
    <w:rsid w:val="00441B61"/>
    <w:rsid w:val="0044211C"/>
    <w:rsid w:val="00444B51"/>
    <w:rsid w:val="00450720"/>
    <w:rsid w:val="00452259"/>
    <w:rsid w:val="00454F81"/>
    <w:rsid w:val="0045520F"/>
    <w:rsid w:val="00456BB6"/>
    <w:rsid w:val="004602C3"/>
    <w:rsid w:val="004604E2"/>
    <w:rsid w:val="00460A92"/>
    <w:rsid w:val="00466FBE"/>
    <w:rsid w:val="004704C1"/>
    <w:rsid w:val="004809D5"/>
    <w:rsid w:val="004855FA"/>
    <w:rsid w:val="00494B8C"/>
    <w:rsid w:val="004B0B09"/>
    <w:rsid w:val="004B2F98"/>
    <w:rsid w:val="004B42BD"/>
    <w:rsid w:val="004C4EF8"/>
    <w:rsid w:val="004D1A8F"/>
    <w:rsid w:val="004D2C94"/>
    <w:rsid w:val="004D4912"/>
    <w:rsid w:val="004E165B"/>
    <w:rsid w:val="004E1E4F"/>
    <w:rsid w:val="004E6B52"/>
    <w:rsid w:val="005050E6"/>
    <w:rsid w:val="00514840"/>
    <w:rsid w:val="005256C3"/>
    <w:rsid w:val="0053204A"/>
    <w:rsid w:val="00546168"/>
    <w:rsid w:val="00552711"/>
    <w:rsid w:val="005601D5"/>
    <w:rsid w:val="0056098D"/>
    <w:rsid w:val="00571CED"/>
    <w:rsid w:val="00573654"/>
    <w:rsid w:val="00574D03"/>
    <w:rsid w:val="005829A4"/>
    <w:rsid w:val="00585C3B"/>
    <w:rsid w:val="005907FA"/>
    <w:rsid w:val="0059687D"/>
    <w:rsid w:val="00597C99"/>
    <w:rsid w:val="005A0A82"/>
    <w:rsid w:val="005A2E5F"/>
    <w:rsid w:val="005C412C"/>
    <w:rsid w:val="005D03D6"/>
    <w:rsid w:val="005D3B11"/>
    <w:rsid w:val="005D4C63"/>
    <w:rsid w:val="005D7FD3"/>
    <w:rsid w:val="005F2F89"/>
    <w:rsid w:val="00600C6C"/>
    <w:rsid w:val="00604E10"/>
    <w:rsid w:val="0061099C"/>
    <w:rsid w:val="00615AC5"/>
    <w:rsid w:val="00624B96"/>
    <w:rsid w:val="006273E1"/>
    <w:rsid w:val="006372A1"/>
    <w:rsid w:val="006400F1"/>
    <w:rsid w:val="006455E5"/>
    <w:rsid w:val="00646FFB"/>
    <w:rsid w:val="006512CA"/>
    <w:rsid w:val="006568FD"/>
    <w:rsid w:val="0066770B"/>
    <w:rsid w:val="00671121"/>
    <w:rsid w:val="006728D7"/>
    <w:rsid w:val="0067560F"/>
    <w:rsid w:val="006756CC"/>
    <w:rsid w:val="00676AA7"/>
    <w:rsid w:val="00680BDC"/>
    <w:rsid w:val="00683DC5"/>
    <w:rsid w:val="006924AC"/>
    <w:rsid w:val="00695FEB"/>
    <w:rsid w:val="006A22B8"/>
    <w:rsid w:val="006A65D2"/>
    <w:rsid w:val="006A73F7"/>
    <w:rsid w:val="006D656B"/>
    <w:rsid w:val="006F602A"/>
    <w:rsid w:val="006F62D2"/>
    <w:rsid w:val="00701661"/>
    <w:rsid w:val="0070794B"/>
    <w:rsid w:val="00712527"/>
    <w:rsid w:val="00720FD2"/>
    <w:rsid w:val="007307EF"/>
    <w:rsid w:val="00736FF9"/>
    <w:rsid w:val="00741A8F"/>
    <w:rsid w:val="00742A3C"/>
    <w:rsid w:val="00744CA3"/>
    <w:rsid w:val="00745FD7"/>
    <w:rsid w:val="0075036E"/>
    <w:rsid w:val="0075490F"/>
    <w:rsid w:val="00762B84"/>
    <w:rsid w:val="0077080F"/>
    <w:rsid w:val="00781865"/>
    <w:rsid w:val="00781B65"/>
    <w:rsid w:val="00792C46"/>
    <w:rsid w:val="00794099"/>
    <w:rsid w:val="007963D3"/>
    <w:rsid w:val="007B3B32"/>
    <w:rsid w:val="007B64A0"/>
    <w:rsid w:val="007B69CB"/>
    <w:rsid w:val="007D080B"/>
    <w:rsid w:val="007D1272"/>
    <w:rsid w:val="007D5A1C"/>
    <w:rsid w:val="007E2883"/>
    <w:rsid w:val="007F00E7"/>
    <w:rsid w:val="007F1891"/>
    <w:rsid w:val="007F7C88"/>
    <w:rsid w:val="00816C66"/>
    <w:rsid w:val="0083054E"/>
    <w:rsid w:val="00836E0E"/>
    <w:rsid w:val="00871FF7"/>
    <w:rsid w:val="00886945"/>
    <w:rsid w:val="008A0590"/>
    <w:rsid w:val="008A49A6"/>
    <w:rsid w:val="008A6376"/>
    <w:rsid w:val="008B6A8F"/>
    <w:rsid w:val="008C1BB5"/>
    <w:rsid w:val="008C5550"/>
    <w:rsid w:val="008D23DD"/>
    <w:rsid w:val="008D3CCC"/>
    <w:rsid w:val="008E6E16"/>
    <w:rsid w:val="008F4976"/>
    <w:rsid w:val="008F49F0"/>
    <w:rsid w:val="00904220"/>
    <w:rsid w:val="00920C18"/>
    <w:rsid w:val="00930339"/>
    <w:rsid w:val="009366EC"/>
    <w:rsid w:val="009379D9"/>
    <w:rsid w:val="00937A63"/>
    <w:rsid w:val="0094631E"/>
    <w:rsid w:val="00951AE8"/>
    <w:rsid w:val="00952E3B"/>
    <w:rsid w:val="00964A54"/>
    <w:rsid w:val="009759CF"/>
    <w:rsid w:val="00982513"/>
    <w:rsid w:val="00982EC7"/>
    <w:rsid w:val="00987ADA"/>
    <w:rsid w:val="00993607"/>
    <w:rsid w:val="009A1B26"/>
    <w:rsid w:val="009B03A6"/>
    <w:rsid w:val="009B2080"/>
    <w:rsid w:val="009B4E95"/>
    <w:rsid w:val="009C7ACA"/>
    <w:rsid w:val="009D232A"/>
    <w:rsid w:val="009E15F2"/>
    <w:rsid w:val="009E6C23"/>
    <w:rsid w:val="009F262B"/>
    <w:rsid w:val="009F591B"/>
    <w:rsid w:val="00A12F25"/>
    <w:rsid w:val="00A27812"/>
    <w:rsid w:val="00A30BDD"/>
    <w:rsid w:val="00A33581"/>
    <w:rsid w:val="00A40370"/>
    <w:rsid w:val="00A47CBA"/>
    <w:rsid w:val="00A61A2B"/>
    <w:rsid w:val="00A62ECE"/>
    <w:rsid w:val="00A741BD"/>
    <w:rsid w:val="00A8188F"/>
    <w:rsid w:val="00A85363"/>
    <w:rsid w:val="00A869F0"/>
    <w:rsid w:val="00A86AF6"/>
    <w:rsid w:val="00AA1DD9"/>
    <w:rsid w:val="00AA3AA0"/>
    <w:rsid w:val="00AA43C2"/>
    <w:rsid w:val="00AB1541"/>
    <w:rsid w:val="00AB195D"/>
    <w:rsid w:val="00AC48F7"/>
    <w:rsid w:val="00AC4C55"/>
    <w:rsid w:val="00AD4C58"/>
    <w:rsid w:val="00AE417C"/>
    <w:rsid w:val="00AF0F00"/>
    <w:rsid w:val="00AF6C18"/>
    <w:rsid w:val="00B10EBF"/>
    <w:rsid w:val="00B211EF"/>
    <w:rsid w:val="00B2339F"/>
    <w:rsid w:val="00B26F6F"/>
    <w:rsid w:val="00B33F8B"/>
    <w:rsid w:val="00B34726"/>
    <w:rsid w:val="00B35A38"/>
    <w:rsid w:val="00B46EC1"/>
    <w:rsid w:val="00B5373F"/>
    <w:rsid w:val="00B671FF"/>
    <w:rsid w:val="00B67B38"/>
    <w:rsid w:val="00B70915"/>
    <w:rsid w:val="00B70B18"/>
    <w:rsid w:val="00B76748"/>
    <w:rsid w:val="00B826C3"/>
    <w:rsid w:val="00B82B60"/>
    <w:rsid w:val="00B92B47"/>
    <w:rsid w:val="00BB2DC3"/>
    <w:rsid w:val="00BC138C"/>
    <w:rsid w:val="00BC1DCD"/>
    <w:rsid w:val="00BC3166"/>
    <w:rsid w:val="00BC59A4"/>
    <w:rsid w:val="00BD6D64"/>
    <w:rsid w:val="00BD6FDA"/>
    <w:rsid w:val="00BD79CA"/>
    <w:rsid w:val="00BE58A8"/>
    <w:rsid w:val="00BE6C84"/>
    <w:rsid w:val="00BF3AF0"/>
    <w:rsid w:val="00BF50FA"/>
    <w:rsid w:val="00C011EC"/>
    <w:rsid w:val="00C024D6"/>
    <w:rsid w:val="00C027B1"/>
    <w:rsid w:val="00C0586E"/>
    <w:rsid w:val="00C10456"/>
    <w:rsid w:val="00C16DBF"/>
    <w:rsid w:val="00C21843"/>
    <w:rsid w:val="00C30C35"/>
    <w:rsid w:val="00C318B7"/>
    <w:rsid w:val="00C438A9"/>
    <w:rsid w:val="00C52BED"/>
    <w:rsid w:val="00C5783A"/>
    <w:rsid w:val="00C6192E"/>
    <w:rsid w:val="00C62687"/>
    <w:rsid w:val="00C64F84"/>
    <w:rsid w:val="00C84835"/>
    <w:rsid w:val="00C90244"/>
    <w:rsid w:val="00C90F4E"/>
    <w:rsid w:val="00C93E67"/>
    <w:rsid w:val="00CA7B01"/>
    <w:rsid w:val="00CB5C23"/>
    <w:rsid w:val="00CB5F66"/>
    <w:rsid w:val="00CC44EE"/>
    <w:rsid w:val="00CC4528"/>
    <w:rsid w:val="00CC5831"/>
    <w:rsid w:val="00CC65E7"/>
    <w:rsid w:val="00CD2833"/>
    <w:rsid w:val="00CD2ACC"/>
    <w:rsid w:val="00CD399B"/>
    <w:rsid w:val="00CE595B"/>
    <w:rsid w:val="00CF02BC"/>
    <w:rsid w:val="00CF31EC"/>
    <w:rsid w:val="00CF5B9B"/>
    <w:rsid w:val="00D01A32"/>
    <w:rsid w:val="00D03843"/>
    <w:rsid w:val="00D04F6B"/>
    <w:rsid w:val="00D10AFC"/>
    <w:rsid w:val="00D12F4F"/>
    <w:rsid w:val="00D155A4"/>
    <w:rsid w:val="00D20990"/>
    <w:rsid w:val="00D304F1"/>
    <w:rsid w:val="00D36215"/>
    <w:rsid w:val="00D45D4C"/>
    <w:rsid w:val="00D46034"/>
    <w:rsid w:val="00D5710F"/>
    <w:rsid w:val="00D5713E"/>
    <w:rsid w:val="00D7745E"/>
    <w:rsid w:val="00D84C6F"/>
    <w:rsid w:val="00D97D51"/>
    <w:rsid w:val="00DB23F5"/>
    <w:rsid w:val="00DB2AB3"/>
    <w:rsid w:val="00DD1746"/>
    <w:rsid w:val="00DD63F4"/>
    <w:rsid w:val="00DD6BCB"/>
    <w:rsid w:val="00DE1776"/>
    <w:rsid w:val="00DE2EE8"/>
    <w:rsid w:val="00DE4AA5"/>
    <w:rsid w:val="00DF17CC"/>
    <w:rsid w:val="00DF4C40"/>
    <w:rsid w:val="00E01ADF"/>
    <w:rsid w:val="00E04264"/>
    <w:rsid w:val="00E06D0C"/>
    <w:rsid w:val="00E31565"/>
    <w:rsid w:val="00E33862"/>
    <w:rsid w:val="00E37A40"/>
    <w:rsid w:val="00E42EFF"/>
    <w:rsid w:val="00E43103"/>
    <w:rsid w:val="00E603E0"/>
    <w:rsid w:val="00E6146C"/>
    <w:rsid w:val="00E656D0"/>
    <w:rsid w:val="00E70164"/>
    <w:rsid w:val="00E7358A"/>
    <w:rsid w:val="00E75C33"/>
    <w:rsid w:val="00E76546"/>
    <w:rsid w:val="00EA16D9"/>
    <w:rsid w:val="00EA1782"/>
    <w:rsid w:val="00EA4516"/>
    <w:rsid w:val="00EC03D9"/>
    <w:rsid w:val="00EC0A6C"/>
    <w:rsid w:val="00ED0294"/>
    <w:rsid w:val="00ED6464"/>
    <w:rsid w:val="00EF10AC"/>
    <w:rsid w:val="00F04EF3"/>
    <w:rsid w:val="00F0752C"/>
    <w:rsid w:val="00F10438"/>
    <w:rsid w:val="00F30804"/>
    <w:rsid w:val="00F4244E"/>
    <w:rsid w:val="00F46BF1"/>
    <w:rsid w:val="00F50481"/>
    <w:rsid w:val="00F76F60"/>
    <w:rsid w:val="00F83AAC"/>
    <w:rsid w:val="00F84299"/>
    <w:rsid w:val="00F87DF4"/>
    <w:rsid w:val="00F94A44"/>
    <w:rsid w:val="00F96D89"/>
    <w:rsid w:val="00FB19A5"/>
    <w:rsid w:val="00FB1B83"/>
    <w:rsid w:val="00FB2078"/>
    <w:rsid w:val="00FB591D"/>
    <w:rsid w:val="00FC54B0"/>
    <w:rsid w:val="00FE09C0"/>
    <w:rsid w:val="00FE2E55"/>
    <w:rsid w:val="00FE520B"/>
    <w:rsid w:val="00FE7E8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63097"/>
  <w15:chartTrackingRefBased/>
  <w15:docId w15:val="{4D9E53E0-9B6E-4216-93A7-DD3129FB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0">
    <w:name w:val="Pa10"/>
    <w:basedOn w:val="Normal"/>
    <w:next w:val="Normal"/>
    <w:uiPriority w:val="99"/>
    <w:rsid w:val="00DF4C40"/>
    <w:pPr>
      <w:autoSpaceDE w:val="0"/>
      <w:autoSpaceDN w:val="0"/>
      <w:adjustRightInd w:val="0"/>
      <w:spacing w:after="0" w:line="181" w:lineRule="atLeast"/>
    </w:pPr>
    <w:rPr>
      <w:rFonts w:ascii="Caecilia LT Std Light" w:hAnsi="Caecilia LT Std Light"/>
      <w:sz w:val="24"/>
      <w:szCs w:val="24"/>
    </w:rPr>
  </w:style>
  <w:style w:type="paragraph" w:customStyle="1" w:styleId="Pa12">
    <w:name w:val="Pa12"/>
    <w:basedOn w:val="Normal"/>
    <w:next w:val="Normal"/>
    <w:uiPriority w:val="99"/>
    <w:rsid w:val="00DF4C40"/>
    <w:pPr>
      <w:autoSpaceDE w:val="0"/>
      <w:autoSpaceDN w:val="0"/>
      <w:adjustRightInd w:val="0"/>
      <w:spacing w:after="0" w:line="181" w:lineRule="atLeast"/>
    </w:pPr>
    <w:rPr>
      <w:rFonts w:ascii="Caecilia LT Std Light" w:hAnsi="Caecilia LT Std Light"/>
      <w:sz w:val="24"/>
      <w:szCs w:val="24"/>
    </w:rPr>
  </w:style>
  <w:style w:type="paragraph" w:styleId="Title">
    <w:name w:val="Title"/>
    <w:basedOn w:val="Normal"/>
    <w:link w:val="TitleChar"/>
    <w:uiPriority w:val="1"/>
    <w:qFormat/>
    <w:rsid w:val="006A73F7"/>
    <w:pPr>
      <w:spacing w:after="0" w:line="240" w:lineRule="auto"/>
      <w:contextualSpacing/>
    </w:pPr>
    <w:rPr>
      <w:rFonts w:asciiTheme="majorHAnsi" w:eastAsiaTheme="majorEastAsia" w:hAnsiTheme="majorHAnsi" w:cstheme="majorBidi"/>
      <w:sz w:val="56"/>
      <w:szCs w:val="56"/>
      <w:lang w:val="en-US" w:eastAsia="ja-JP"/>
    </w:rPr>
  </w:style>
  <w:style w:type="character" w:customStyle="1" w:styleId="TitleChar">
    <w:name w:val="Title Char"/>
    <w:basedOn w:val="DefaultParagraphFont"/>
    <w:link w:val="Title"/>
    <w:uiPriority w:val="1"/>
    <w:rsid w:val="006A73F7"/>
    <w:rPr>
      <w:rFonts w:asciiTheme="majorHAnsi" w:eastAsiaTheme="majorEastAsia" w:hAnsiTheme="majorHAnsi" w:cstheme="majorBidi"/>
      <w:sz w:val="56"/>
      <w:szCs w:val="56"/>
      <w:lang w:val="en-US" w:eastAsia="ja-JP"/>
    </w:rPr>
  </w:style>
  <w:style w:type="paragraph" w:customStyle="1" w:styleId="Pa16">
    <w:name w:val="Pa16"/>
    <w:basedOn w:val="Normal"/>
    <w:next w:val="Normal"/>
    <w:uiPriority w:val="99"/>
    <w:rsid w:val="0013132B"/>
    <w:pPr>
      <w:autoSpaceDE w:val="0"/>
      <w:autoSpaceDN w:val="0"/>
      <w:adjustRightInd w:val="0"/>
      <w:spacing w:after="0" w:line="191" w:lineRule="atLeast"/>
    </w:pPr>
    <w:rPr>
      <w:rFonts w:ascii="HelveticaNeueLT Std" w:hAnsi="HelveticaNeueLT Std"/>
      <w:sz w:val="24"/>
      <w:szCs w:val="24"/>
    </w:rPr>
  </w:style>
  <w:style w:type="paragraph" w:customStyle="1" w:styleId="Pa20">
    <w:name w:val="Pa20"/>
    <w:basedOn w:val="Normal"/>
    <w:next w:val="Normal"/>
    <w:uiPriority w:val="99"/>
    <w:rsid w:val="0013132B"/>
    <w:pPr>
      <w:autoSpaceDE w:val="0"/>
      <w:autoSpaceDN w:val="0"/>
      <w:adjustRightInd w:val="0"/>
      <w:spacing w:after="0" w:line="191" w:lineRule="atLeast"/>
    </w:pPr>
    <w:rPr>
      <w:rFonts w:ascii="HelveticaNeueLT Std" w:hAnsi="HelveticaNeueLT Std"/>
      <w:sz w:val="24"/>
      <w:szCs w:val="24"/>
    </w:rPr>
  </w:style>
  <w:style w:type="paragraph" w:styleId="BalloonText">
    <w:name w:val="Balloon Text"/>
    <w:basedOn w:val="Normal"/>
    <w:link w:val="BalloonTextChar"/>
    <w:uiPriority w:val="99"/>
    <w:semiHidden/>
    <w:unhideWhenUsed/>
    <w:rsid w:val="004168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834"/>
    <w:rPr>
      <w:rFonts w:ascii="Segoe UI" w:hAnsi="Segoe UI" w:cs="Segoe UI"/>
      <w:sz w:val="18"/>
      <w:szCs w:val="18"/>
    </w:rPr>
  </w:style>
  <w:style w:type="character" w:styleId="CommentReference">
    <w:name w:val="annotation reference"/>
    <w:basedOn w:val="DefaultParagraphFont"/>
    <w:uiPriority w:val="99"/>
    <w:semiHidden/>
    <w:unhideWhenUsed/>
    <w:rsid w:val="00126382"/>
    <w:rPr>
      <w:sz w:val="16"/>
      <w:szCs w:val="16"/>
    </w:rPr>
  </w:style>
  <w:style w:type="paragraph" w:styleId="CommentText">
    <w:name w:val="annotation text"/>
    <w:basedOn w:val="Normal"/>
    <w:link w:val="CommentTextChar"/>
    <w:uiPriority w:val="99"/>
    <w:semiHidden/>
    <w:unhideWhenUsed/>
    <w:rsid w:val="00126382"/>
    <w:pPr>
      <w:spacing w:line="240" w:lineRule="auto"/>
    </w:pPr>
    <w:rPr>
      <w:sz w:val="20"/>
      <w:szCs w:val="20"/>
    </w:rPr>
  </w:style>
  <w:style w:type="character" w:customStyle="1" w:styleId="CommentTextChar">
    <w:name w:val="Comment Text Char"/>
    <w:basedOn w:val="DefaultParagraphFont"/>
    <w:link w:val="CommentText"/>
    <w:uiPriority w:val="99"/>
    <w:semiHidden/>
    <w:rsid w:val="00126382"/>
    <w:rPr>
      <w:sz w:val="20"/>
      <w:szCs w:val="20"/>
    </w:rPr>
  </w:style>
  <w:style w:type="paragraph" w:styleId="CommentSubject">
    <w:name w:val="annotation subject"/>
    <w:basedOn w:val="CommentText"/>
    <w:next w:val="CommentText"/>
    <w:link w:val="CommentSubjectChar"/>
    <w:uiPriority w:val="99"/>
    <w:semiHidden/>
    <w:unhideWhenUsed/>
    <w:rsid w:val="00126382"/>
    <w:rPr>
      <w:b/>
      <w:bCs/>
    </w:rPr>
  </w:style>
  <w:style w:type="character" w:customStyle="1" w:styleId="CommentSubjectChar">
    <w:name w:val="Comment Subject Char"/>
    <w:basedOn w:val="CommentTextChar"/>
    <w:link w:val="CommentSubject"/>
    <w:uiPriority w:val="99"/>
    <w:semiHidden/>
    <w:rsid w:val="00126382"/>
    <w:rPr>
      <w:b/>
      <w:bCs/>
      <w:sz w:val="20"/>
      <w:szCs w:val="20"/>
    </w:rPr>
  </w:style>
  <w:style w:type="paragraph" w:styleId="Header">
    <w:name w:val="header"/>
    <w:basedOn w:val="Normal"/>
    <w:link w:val="HeaderChar"/>
    <w:uiPriority w:val="99"/>
    <w:unhideWhenUsed/>
    <w:rsid w:val="001263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382"/>
  </w:style>
  <w:style w:type="paragraph" w:styleId="Footer">
    <w:name w:val="footer"/>
    <w:basedOn w:val="Normal"/>
    <w:link w:val="FooterChar"/>
    <w:uiPriority w:val="99"/>
    <w:unhideWhenUsed/>
    <w:rsid w:val="001263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382"/>
  </w:style>
  <w:style w:type="paragraph" w:customStyle="1" w:styleId="Body">
    <w:name w:val="Body"/>
    <w:rsid w:val="00E33862"/>
    <w:pPr>
      <w:pBdr>
        <w:top w:val="nil"/>
        <w:left w:val="nil"/>
        <w:bottom w:val="nil"/>
        <w:right w:val="nil"/>
        <w:between w:val="nil"/>
        <w:bar w:val="nil"/>
      </w:pBdr>
    </w:pPr>
    <w:rPr>
      <w:rFonts w:ascii="Calibri" w:eastAsia="Calibri" w:hAnsi="Calibri" w:cs="Calibri"/>
      <w:color w:val="000000"/>
      <w:u w:color="000000"/>
      <w:bdr w:val="nil"/>
      <w:lang w:eastAsia="en-GB"/>
    </w:rPr>
  </w:style>
  <w:style w:type="paragraph" w:styleId="ListParagraph">
    <w:name w:val="List Paragraph"/>
    <w:basedOn w:val="Normal"/>
    <w:uiPriority w:val="34"/>
    <w:qFormat/>
    <w:rsid w:val="004B0B09"/>
    <w:pPr>
      <w:ind w:left="720"/>
      <w:contextualSpacing/>
    </w:pPr>
  </w:style>
  <w:style w:type="paragraph" w:styleId="Revision">
    <w:name w:val="Revision"/>
    <w:hidden/>
    <w:uiPriority w:val="99"/>
    <w:semiHidden/>
    <w:rsid w:val="007D08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54977">
      <w:bodyDiv w:val="1"/>
      <w:marLeft w:val="0"/>
      <w:marRight w:val="0"/>
      <w:marTop w:val="0"/>
      <w:marBottom w:val="0"/>
      <w:divBdr>
        <w:top w:val="none" w:sz="0" w:space="0" w:color="auto"/>
        <w:left w:val="none" w:sz="0" w:space="0" w:color="auto"/>
        <w:bottom w:val="none" w:sz="0" w:space="0" w:color="auto"/>
        <w:right w:val="none" w:sz="0" w:space="0" w:color="auto"/>
      </w:divBdr>
    </w:div>
    <w:div w:id="599683512">
      <w:bodyDiv w:val="1"/>
      <w:marLeft w:val="0"/>
      <w:marRight w:val="0"/>
      <w:marTop w:val="0"/>
      <w:marBottom w:val="0"/>
      <w:divBdr>
        <w:top w:val="none" w:sz="0" w:space="0" w:color="auto"/>
        <w:left w:val="none" w:sz="0" w:space="0" w:color="auto"/>
        <w:bottom w:val="none" w:sz="0" w:space="0" w:color="auto"/>
        <w:right w:val="none" w:sz="0" w:space="0" w:color="auto"/>
      </w:divBdr>
    </w:div>
    <w:div w:id="976296534">
      <w:bodyDiv w:val="1"/>
      <w:marLeft w:val="0"/>
      <w:marRight w:val="0"/>
      <w:marTop w:val="0"/>
      <w:marBottom w:val="0"/>
      <w:divBdr>
        <w:top w:val="none" w:sz="0" w:space="0" w:color="auto"/>
        <w:left w:val="none" w:sz="0" w:space="0" w:color="auto"/>
        <w:bottom w:val="none" w:sz="0" w:space="0" w:color="auto"/>
        <w:right w:val="none" w:sz="0" w:space="0" w:color="auto"/>
      </w:divBdr>
    </w:div>
    <w:div w:id="1963806478">
      <w:bodyDiv w:val="1"/>
      <w:marLeft w:val="0"/>
      <w:marRight w:val="0"/>
      <w:marTop w:val="0"/>
      <w:marBottom w:val="0"/>
      <w:divBdr>
        <w:top w:val="none" w:sz="0" w:space="0" w:color="auto"/>
        <w:left w:val="none" w:sz="0" w:space="0" w:color="auto"/>
        <w:bottom w:val="none" w:sz="0" w:space="0" w:color="auto"/>
        <w:right w:val="none" w:sz="0" w:space="0" w:color="auto"/>
      </w:divBdr>
    </w:div>
    <w:div w:id="198222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[Milestone.03.01.18.xlsx_ (002).xlsx]Analysis-chart-AOF!PivotTable3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MILESTONE RATING PER AOF</a:t>
            </a:r>
          </a:p>
        </c:rich>
      </c:tx>
      <c:layout>
        <c:manualLayout>
          <c:xMode val="edge"/>
          <c:yMode val="edge"/>
          <c:x val="0.32225083986424563"/>
          <c:y val="0.12796127756757678"/>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KE"/>
        </a:p>
      </c:txPr>
    </c:title>
    <c:autoTitleDeleted val="0"/>
    <c:pivotFmts>
      <c:pivotFmt>
        <c:idx val="0"/>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pivotFmt>
      <c:pivotFmt>
        <c:idx val="3"/>
      </c:pivotFmt>
      <c:pivotFmt>
        <c:idx val="4"/>
      </c:pivotFmt>
      <c:pivotFmt>
        <c:idx val="5"/>
      </c:pivotFmt>
      <c:pivotFmt>
        <c:idx val="6"/>
      </c:pivotFmt>
      <c:pivotFmt>
        <c:idx val="7"/>
      </c:pivotFmt>
      <c:pivotFmt>
        <c:idx val="8"/>
      </c:pivotFmt>
      <c:pivotFmt>
        <c:idx val="9"/>
      </c:pivotFmt>
      <c:pivotFmt>
        <c:idx val="10"/>
        <c:dLbl>
          <c:idx val="0"/>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rgbClr val="FFFF00"/>
          </a:solidFill>
          <a:ln>
            <a:noFill/>
          </a:ln>
          <a:effectLst>
            <a:outerShdw blurRad="57150" dist="19050" dir="5400000" algn="ctr" rotWithShape="0">
              <a:srgbClr val="000000">
                <a:alpha val="63000"/>
              </a:srgbClr>
            </a:outerShdw>
          </a:effectLst>
          <a:sp3d/>
        </c:spPr>
      </c:pivotFmt>
      <c:pivotFmt>
        <c:idx val="13"/>
        <c:spPr>
          <a:solidFill>
            <a:srgbClr val="FFFF00"/>
          </a:solidFill>
          <a:ln>
            <a:noFill/>
          </a:ln>
          <a:effectLst>
            <a:outerShdw blurRad="57150" dist="19050" dir="5400000" algn="ctr" rotWithShape="0">
              <a:srgbClr val="000000">
                <a:alpha val="63000"/>
              </a:srgbClr>
            </a:outerShdw>
          </a:effectLst>
          <a:sp3d/>
        </c:spPr>
      </c:pivotFmt>
      <c:pivotFmt>
        <c:idx val="14"/>
        <c:spPr>
          <a:solidFill>
            <a:srgbClr val="FFFF00"/>
          </a:solidFill>
          <a:ln>
            <a:noFill/>
          </a:ln>
          <a:effectLst>
            <a:outerShdw blurRad="57150" dist="19050" dir="5400000" algn="ctr" rotWithShape="0">
              <a:srgbClr val="000000">
                <a:alpha val="63000"/>
              </a:srgbClr>
            </a:outerShdw>
          </a:effectLst>
          <a:sp3d/>
        </c:spPr>
      </c:pivotFmt>
      <c:pivotFmt>
        <c:idx val="15"/>
        <c:spPr>
          <a:solidFill>
            <a:srgbClr val="FFC000"/>
          </a:solidFill>
          <a:ln>
            <a:noFill/>
          </a:ln>
          <a:effectLst>
            <a:outerShdw blurRad="57150" dist="19050" dir="5400000" algn="ctr" rotWithShape="0">
              <a:srgbClr val="000000">
                <a:alpha val="63000"/>
              </a:srgbClr>
            </a:outerShdw>
          </a:effectLst>
          <a:sp3d/>
        </c:spPr>
      </c:pivotFmt>
      <c:pivotFmt>
        <c:idx val="16"/>
        <c:spPr>
          <a:solidFill>
            <a:srgbClr val="FFFF00"/>
          </a:solidFill>
          <a:ln>
            <a:noFill/>
          </a:ln>
          <a:effectLst>
            <a:outerShdw blurRad="57150" dist="19050" dir="5400000" algn="ctr" rotWithShape="0">
              <a:srgbClr val="000000">
                <a:alpha val="63000"/>
              </a:srgbClr>
            </a:outerShdw>
          </a:effectLst>
          <a:sp3d/>
        </c:spPr>
      </c:pivotFmt>
      <c:pivotFmt>
        <c:idx val="17"/>
        <c:spPr>
          <a:solidFill>
            <a:srgbClr val="FFFF00"/>
          </a:solidFill>
          <a:ln>
            <a:noFill/>
          </a:ln>
          <a:effectLst>
            <a:outerShdw blurRad="57150" dist="19050" dir="5400000" algn="ctr" rotWithShape="0">
              <a:srgbClr val="000000">
                <a:alpha val="63000"/>
              </a:srgbClr>
            </a:outerShdw>
          </a:effectLst>
          <a:sp3d/>
        </c:spPr>
      </c:pivotFmt>
      <c:pivotFmt>
        <c:idx val="18"/>
        <c:spPr>
          <a:solidFill>
            <a:srgbClr val="FFFF00"/>
          </a:solidFill>
          <a:ln>
            <a:noFill/>
          </a:ln>
          <a:effectLst>
            <a:outerShdw blurRad="57150" dist="19050" dir="5400000" algn="ctr" rotWithShape="0">
              <a:srgbClr val="000000">
                <a:alpha val="63000"/>
              </a:srgbClr>
            </a:outerShdw>
          </a:effectLst>
          <a:sp3d/>
        </c:spPr>
      </c:pivotFmt>
      <c:pivotFmt>
        <c:idx val="19"/>
        <c:spPr>
          <a:solidFill>
            <a:srgbClr val="FFFF00"/>
          </a:solidFill>
          <a:ln>
            <a:noFill/>
          </a:ln>
          <a:effectLst>
            <a:outerShdw blurRad="57150" dist="19050" dir="5400000" algn="ctr" rotWithShape="0">
              <a:srgbClr val="000000">
                <a:alpha val="63000"/>
              </a:srgbClr>
            </a:outerShdw>
          </a:effectLst>
          <a:sp3d/>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rgbClr val="FFC000"/>
          </a:solidFill>
          <a:ln>
            <a:noFill/>
          </a:ln>
          <a:effectLst>
            <a:outerShdw blurRad="57150" dist="19050" dir="5400000" algn="ctr" rotWithShape="0">
              <a:srgbClr val="000000">
                <a:alpha val="63000"/>
              </a:srgbClr>
            </a:outerShdw>
          </a:effectLst>
          <a:sp3d/>
        </c:spPr>
      </c:pivotFmt>
      <c:pivotFmt>
        <c:idx val="22"/>
        <c:spPr>
          <a:solidFill>
            <a:srgbClr val="FFFF00"/>
          </a:solidFill>
          <a:ln>
            <a:noFill/>
          </a:ln>
          <a:effectLst>
            <a:outerShdw blurRad="57150" dist="19050" dir="5400000" algn="ctr" rotWithShape="0">
              <a:srgbClr val="000000">
                <a:alpha val="63000"/>
              </a:srgbClr>
            </a:outerShdw>
          </a:effectLst>
          <a:sp3d/>
        </c:spPr>
      </c:pivotFmt>
      <c:pivotFmt>
        <c:idx val="23"/>
        <c:spPr>
          <a:solidFill>
            <a:srgbClr val="FFFF00"/>
          </a:solidFill>
          <a:ln>
            <a:noFill/>
          </a:ln>
          <a:effectLst>
            <a:outerShdw blurRad="57150" dist="19050" dir="5400000" algn="ctr" rotWithShape="0">
              <a:srgbClr val="000000">
                <a:alpha val="63000"/>
              </a:srgbClr>
            </a:outerShdw>
          </a:effectLst>
          <a:sp3d/>
        </c:spPr>
      </c:pivotFmt>
      <c:pivotFmt>
        <c:idx val="24"/>
        <c:spPr>
          <a:solidFill>
            <a:srgbClr val="FFFF00"/>
          </a:solidFill>
          <a:ln>
            <a:noFill/>
          </a:ln>
          <a:effectLst>
            <a:outerShdw blurRad="57150" dist="19050" dir="5400000" algn="ctr" rotWithShape="0">
              <a:srgbClr val="000000">
                <a:alpha val="63000"/>
              </a:srgbClr>
            </a:outerShdw>
          </a:effectLst>
          <a:sp3d/>
        </c:spPr>
      </c:pivotFmt>
      <c:pivotFmt>
        <c:idx val="25"/>
        <c:spPr>
          <a:solidFill>
            <a:srgbClr val="FFFF00"/>
          </a:solidFill>
          <a:ln>
            <a:noFill/>
          </a:ln>
          <a:effectLst>
            <a:outerShdw blurRad="57150" dist="19050" dir="5400000" algn="ctr" rotWithShape="0">
              <a:srgbClr val="000000">
                <a:alpha val="63000"/>
              </a:srgbClr>
            </a:outerShdw>
          </a:effectLst>
          <a:sp3d/>
        </c:spPr>
      </c:pivotFmt>
      <c:pivotFmt>
        <c:idx val="26"/>
        <c:spPr>
          <a:solidFill>
            <a:srgbClr val="FFFF00"/>
          </a:solidFill>
          <a:ln>
            <a:noFill/>
          </a:ln>
          <a:effectLst>
            <a:outerShdw blurRad="57150" dist="19050" dir="5400000" algn="ctr" rotWithShape="0">
              <a:srgbClr val="000000">
                <a:alpha val="63000"/>
              </a:srgbClr>
            </a:outerShdw>
          </a:effectLst>
          <a:sp3d/>
        </c:spPr>
      </c:pivotFmt>
      <c:pivotFmt>
        <c:idx val="27"/>
        <c:spPr>
          <a:solidFill>
            <a:srgbClr val="FFFF00"/>
          </a:solidFill>
          <a:ln>
            <a:noFill/>
          </a:ln>
          <a:effectLst>
            <a:outerShdw blurRad="57150" dist="19050" dir="5400000" algn="ctr" rotWithShape="0">
              <a:srgbClr val="000000">
                <a:alpha val="63000"/>
              </a:srgbClr>
            </a:outerShdw>
          </a:effectLst>
          <a:sp3d/>
        </c:spPr>
      </c:pivotFmt>
      <c:pivotFmt>
        <c:idx val="28"/>
        <c:spPr>
          <a:solidFill>
            <a:srgbClr val="FFFF00"/>
          </a:solidFill>
          <a:ln>
            <a:noFill/>
          </a:ln>
          <a:effectLst>
            <a:outerShdw blurRad="57150" dist="19050" dir="5400000" algn="ctr" rotWithShape="0">
              <a:srgbClr val="000000">
                <a:alpha val="63000"/>
              </a:srgbClr>
            </a:outerShdw>
          </a:effectLst>
          <a:sp3d/>
        </c:spPr>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extLst>
            <c:ext xmlns:c15="http://schemas.microsoft.com/office/drawing/2012/chart" uri="{CE6537A1-D6FC-4f65-9D91-7224C49458BB}"/>
          </c:extLst>
        </c:dLbl>
      </c:pivotFmt>
      <c:pivotFmt>
        <c:idx val="30"/>
        <c:spPr>
          <a:solidFill>
            <a:srgbClr val="FFC000"/>
          </a:solidFill>
          <a:ln>
            <a:noFill/>
          </a:ln>
          <a:effectLst>
            <a:outerShdw blurRad="57150" dist="19050" dir="5400000" algn="ctr" rotWithShape="0">
              <a:srgbClr val="000000">
                <a:alpha val="63000"/>
              </a:srgbClr>
            </a:outerShdw>
          </a:effectLst>
          <a:sp3d/>
        </c:spPr>
      </c:pivotFmt>
      <c:pivotFmt>
        <c:idx val="31"/>
        <c:spPr>
          <a:solidFill>
            <a:srgbClr val="FFFF00"/>
          </a:solidFill>
          <a:ln>
            <a:noFill/>
          </a:ln>
          <a:effectLst>
            <a:outerShdw blurRad="57150" dist="19050" dir="5400000" algn="ctr" rotWithShape="0">
              <a:srgbClr val="000000">
                <a:alpha val="63000"/>
              </a:srgbClr>
            </a:outerShdw>
          </a:effectLst>
          <a:sp3d/>
        </c:spPr>
      </c:pivotFmt>
      <c:pivotFmt>
        <c:idx val="32"/>
        <c:spPr>
          <a:solidFill>
            <a:srgbClr val="FFFF00"/>
          </a:solidFill>
          <a:ln>
            <a:noFill/>
          </a:ln>
          <a:effectLst>
            <a:outerShdw blurRad="57150" dist="19050" dir="5400000" algn="ctr" rotWithShape="0">
              <a:srgbClr val="000000">
                <a:alpha val="63000"/>
              </a:srgbClr>
            </a:outerShdw>
          </a:effectLst>
          <a:sp3d/>
        </c:spPr>
      </c:pivotFmt>
      <c:pivotFmt>
        <c:idx val="33"/>
        <c:spPr>
          <a:solidFill>
            <a:srgbClr val="FFFF00"/>
          </a:solidFill>
          <a:ln>
            <a:noFill/>
          </a:ln>
          <a:effectLst>
            <a:outerShdw blurRad="57150" dist="19050" dir="5400000" algn="ctr" rotWithShape="0">
              <a:srgbClr val="000000">
                <a:alpha val="63000"/>
              </a:srgbClr>
            </a:outerShdw>
          </a:effectLst>
          <a:sp3d/>
        </c:spPr>
      </c:pivotFmt>
      <c:pivotFmt>
        <c:idx val="34"/>
        <c:spPr>
          <a:solidFill>
            <a:srgbClr val="FFFF00"/>
          </a:solidFill>
          <a:ln>
            <a:noFill/>
          </a:ln>
          <a:effectLst>
            <a:outerShdw blurRad="57150" dist="19050" dir="5400000" algn="ctr" rotWithShape="0">
              <a:srgbClr val="000000">
                <a:alpha val="63000"/>
              </a:srgbClr>
            </a:outerShdw>
          </a:effectLst>
          <a:sp3d/>
        </c:spPr>
      </c:pivotFmt>
      <c:pivotFmt>
        <c:idx val="35"/>
        <c:spPr>
          <a:solidFill>
            <a:srgbClr val="FFFF00"/>
          </a:solidFill>
          <a:ln>
            <a:noFill/>
          </a:ln>
          <a:effectLst>
            <a:outerShdw blurRad="57150" dist="19050" dir="5400000" algn="ctr" rotWithShape="0">
              <a:srgbClr val="000000">
                <a:alpha val="63000"/>
              </a:srgbClr>
            </a:outerShdw>
          </a:effectLst>
          <a:sp3d/>
        </c:spPr>
      </c:pivotFmt>
      <c:pivotFmt>
        <c:idx val="36"/>
        <c:spPr>
          <a:solidFill>
            <a:srgbClr val="FFFF00"/>
          </a:solidFill>
          <a:ln>
            <a:noFill/>
          </a:ln>
          <a:effectLst>
            <a:outerShdw blurRad="57150" dist="19050" dir="5400000" algn="ctr" rotWithShape="0">
              <a:srgbClr val="000000">
                <a:alpha val="63000"/>
              </a:srgbClr>
            </a:outerShdw>
          </a:effectLst>
          <a:sp3d/>
        </c:spPr>
      </c:pivotFmt>
      <c:pivotFmt>
        <c:idx val="37"/>
        <c:spPr>
          <a:solidFill>
            <a:srgbClr val="FFFF00"/>
          </a:solidFill>
          <a:ln>
            <a:noFill/>
          </a:ln>
          <a:effectLst>
            <a:outerShdw blurRad="57150" dist="19050" dir="5400000" algn="ctr" rotWithShape="0">
              <a:srgbClr val="000000">
                <a:alpha val="63000"/>
              </a:srgbClr>
            </a:outerShdw>
          </a:effectLst>
          <a:sp3d/>
        </c:spP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44627739776668129"/>
          <c:y val="0.28310449475065613"/>
          <c:w val="0.51356953394120708"/>
          <c:h val="0.57697840401528755"/>
        </c:manualLayout>
      </c:layout>
      <c:bar3DChart>
        <c:barDir val="bar"/>
        <c:grouping val="clustered"/>
        <c:varyColors val="0"/>
        <c:ser>
          <c:idx val="0"/>
          <c:order val="0"/>
          <c:tx>
            <c:strRef>
              <c:f>'Analysis-chart-AOF'!$F$8</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Pt>
            <c:idx val="0"/>
            <c:invertIfNegative val="0"/>
            <c:bubble3D val="0"/>
            <c:spPr>
              <a:solidFill>
                <a:srgbClr val="FFC0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69D8-4A86-9891-058EC695F74E}"/>
              </c:ext>
            </c:extLst>
          </c:dPt>
          <c:dPt>
            <c:idx val="1"/>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69D8-4A86-9891-058EC695F74E}"/>
              </c:ext>
            </c:extLst>
          </c:dPt>
          <c:dPt>
            <c:idx val="2"/>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69D8-4A86-9891-058EC695F74E}"/>
              </c:ext>
            </c:extLst>
          </c:dPt>
          <c:dPt>
            <c:idx val="3"/>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69D8-4A86-9891-058EC695F74E}"/>
              </c:ext>
            </c:extLst>
          </c:dPt>
          <c:dPt>
            <c:idx val="4"/>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69D8-4A86-9891-058EC695F74E}"/>
              </c:ext>
            </c:extLst>
          </c:dPt>
          <c:dPt>
            <c:idx val="5"/>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69D8-4A86-9891-058EC695F74E}"/>
              </c:ext>
            </c:extLst>
          </c:dPt>
          <c:dPt>
            <c:idx val="6"/>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69D8-4A86-9891-058EC695F74E}"/>
              </c:ext>
            </c:extLst>
          </c:dPt>
          <c:dPt>
            <c:idx val="7"/>
            <c:invertIfNegative val="0"/>
            <c:bubble3D val="0"/>
            <c:spPr>
              <a:solidFill>
                <a:srgbClr val="FFFF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69D8-4A86-9891-058EC695F74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K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'Analysis-chart-AOF'!$E$9:$E$17</c:f>
              <c:strCache>
                <c:ptCount val="8"/>
                <c:pt idx="0">
                  <c:v>AOF 5: WATER, SANITATION AND HYGENE</c:v>
                </c:pt>
                <c:pt idx="1">
                  <c:v>AOF 6: SOCIAL INCLUSION</c:v>
                </c:pt>
                <c:pt idx="2">
                  <c:v>AOF 4: HEALTH AND CARE</c:v>
                </c:pt>
                <c:pt idx="3">
                  <c:v>AOF 1: DISASTER RISK REDUCTION</c:v>
                </c:pt>
                <c:pt idx="4">
                  <c:v>AOF 2: SHELTER</c:v>
                </c:pt>
                <c:pt idx="5">
                  <c:v>AOF 8: MIGRATION</c:v>
                </c:pt>
                <c:pt idx="6">
                  <c:v>AOF:7 CULTURE OF PEACE &amp; NON-VIOLENCE</c:v>
                </c:pt>
                <c:pt idx="7">
                  <c:v>AOF 3: LIVELIHOODS</c:v>
                </c:pt>
              </c:strCache>
            </c:strRef>
          </c:cat>
          <c:val>
            <c:numRef>
              <c:f>'Analysis-chart-AOF'!$F$9:$F$17</c:f>
              <c:numCache>
                <c:formatCode>0.0</c:formatCode>
                <c:ptCount val="8"/>
                <c:pt idx="0">
                  <c:v>2.2833333333333332</c:v>
                </c:pt>
                <c:pt idx="1">
                  <c:v>2.5750000000000002</c:v>
                </c:pt>
                <c:pt idx="2">
                  <c:v>2.6625000000000001</c:v>
                </c:pt>
                <c:pt idx="3">
                  <c:v>2.7428571428571429</c:v>
                </c:pt>
                <c:pt idx="4">
                  <c:v>2.8333333333333335</c:v>
                </c:pt>
                <c:pt idx="5">
                  <c:v>2.9</c:v>
                </c:pt>
                <c:pt idx="6">
                  <c:v>2.9249999999999998</c:v>
                </c:pt>
                <c:pt idx="7">
                  <c:v>2.9333333333333336</c:v>
                </c:pt>
              </c:numCache>
            </c:numRef>
          </c:val>
          <c:extLst>
            <c:ext xmlns:c16="http://schemas.microsoft.com/office/drawing/2014/chart" uri="{C3380CC4-5D6E-409C-BE32-E72D297353CC}">
              <c16:uniqueId val="{00000010-69D8-4A86-9891-058EC695F74E}"/>
            </c:ext>
          </c:extLst>
        </c:ser>
        <c:dLbls>
          <c:showLegendKey val="0"/>
          <c:showVal val="0"/>
          <c:showCatName val="0"/>
          <c:showSerName val="0"/>
          <c:showPercent val="0"/>
          <c:showBubbleSize val="0"/>
        </c:dLbls>
        <c:gapWidth val="150"/>
        <c:shape val="box"/>
        <c:axId val="254119544"/>
        <c:axId val="254077928"/>
        <c:axId val="0"/>
      </c:bar3DChart>
      <c:catAx>
        <c:axId val="254119544"/>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AOF</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K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KE"/>
          </a:p>
        </c:txPr>
        <c:crossAx val="254077928"/>
        <c:crosses val="autoZero"/>
        <c:auto val="1"/>
        <c:lblAlgn val="ctr"/>
        <c:lblOffset val="100"/>
        <c:noMultiLvlLbl val="0"/>
      </c:catAx>
      <c:valAx>
        <c:axId val="254077928"/>
        <c:scaling>
          <c:orientation val="minMax"/>
        </c:scaling>
        <c:delete val="0"/>
        <c:axPos val="b"/>
        <c:majorGridlines>
          <c:spPr>
            <a:ln w="9525" cap="flat" cmpd="sng" algn="ctr">
              <a:solidFill>
                <a:schemeClr val="dk1">
                  <a:lumMod val="50000"/>
                  <a:lumOff val="5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AOF Levels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KE"/>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KE"/>
          </a:p>
        </c:txPr>
        <c:crossAx val="25411954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KE"/>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177D2-8BC7-46BE-BB86-678426665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FWAGA</dc:creator>
  <cp:keywords/>
  <dc:description/>
  <cp:lastModifiedBy>Cynthia NATENZI</cp:lastModifiedBy>
  <cp:revision>3</cp:revision>
  <cp:lastPrinted>2018-01-18T06:14:00Z</cp:lastPrinted>
  <dcterms:created xsi:type="dcterms:W3CDTF">2018-01-22T15:52:00Z</dcterms:created>
  <dcterms:modified xsi:type="dcterms:W3CDTF">2018-01-22T15:56:00Z</dcterms:modified>
</cp:coreProperties>
</file>