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F48" w:rsidRPr="00420F48" w:rsidRDefault="00A76366" w:rsidP="00A76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20F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Додаток №</w:t>
      </w:r>
      <w:r w:rsidR="003400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C6169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EB579D" w:rsidRPr="00420F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420F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ПАСПОРТУ ПРОДУКТУ</w:t>
      </w:r>
      <w:r w:rsidRPr="00420F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90131D" w:rsidRPr="00B45C49" w:rsidRDefault="0090131D" w:rsidP="0090131D">
      <w:pPr>
        <w:spacing w:after="0"/>
        <w:jc w:val="center"/>
        <w:rPr>
          <w:b/>
          <w:sz w:val="28"/>
          <w:szCs w:val="28"/>
          <w:lang w:val="uk-UA"/>
        </w:rPr>
      </w:pPr>
      <w:r w:rsidRPr="004401F1">
        <w:rPr>
          <w:sz w:val="28"/>
          <w:szCs w:val="28"/>
          <w:lang w:val="uk-UA"/>
        </w:rPr>
        <w:t>ДД</w:t>
      </w:r>
      <w:r w:rsidRPr="00B45C49">
        <w:rPr>
          <w:b/>
          <w:sz w:val="28"/>
          <w:szCs w:val="28"/>
          <w:lang w:val="uk-UA"/>
        </w:rPr>
        <w:t xml:space="preserve"> </w:t>
      </w:r>
      <w:r w:rsidRPr="002C592C">
        <w:rPr>
          <w:sz w:val="28"/>
          <w:szCs w:val="28"/>
          <w:lang w:val="uk-UA"/>
        </w:rPr>
        <w:t>«</w:t>
      </w:r>
      <w:proofErr w:type="spellStart"/>
      <w:r w:rsidR="002C592C" w:rsidRPr="002C592C">
        <w:rPr>
          <w:sz w:val="28"/>
          <w:szCs w:val="28"/>
          <w:lang w:val="uk-UA"/>
        </w:rPr>
        <w:t>Новарсил</w:t>
      </w:r>
      <w:proofErr w:type="spellEnd"/>
      <w:r w:rsidR="002C592C" w:rsidRPr="002C592C">
        <w:rPr>
          <w:sz w:val="28"/>
          <w:szCs w:val="28"/>
          <w:lang w:val="uk-UA"/>
        </w:rPr>
        <w:t xml:space="preserve"> форте</w:t>
      </w:r>
      <w:r w:rsidRPr="002C592C">
        <w:rPr>
          <w:sz w:val="28"/>
          <w:szCs w:val="28"/>
          <w:lang w:val="uk-UA"/>
        </w:rPr>
        <w:t>»</w:t>
      </w:r>
      <w:r w:rsidR="002C592C" w:rsidRPr="002C592C">
        <w:rPr>
          <w:sz w:val="28"/>
          <w:szCs w:val="28"/>
          <w:lang w:val="uk-UA"/>
        </w:rPr>
        <w:t xml:space="preserve"> («</w:t>
      </w:r>
      <w:proofErr w:type="spellStart"/>
      <w:r w:rsidR="002C592C" w:rsidRPr="002C592C">
        <w:rPr>
          <w:sz w:val="28"/>
          <w:szCs w:val="28"/>
          <w:lang w:val="uk-UA"/>
        </w:rPr>
        <w:t>Сілібінін</w:t>
      </w:r>
      <w:proofErr w:type="spellEnd"/>
      <w:r w:rsidR="002C592C" w:rsidRPr="002C592C">
        <w:rPr>
          <w:sz w:val="28"/>
          <w:szCs w:val="28"/>
          <w:lang w:val="uk-UA"/>
        </w:rPr>
        <w:t>»)</w:t>
      </w:r>
      <w:r w:rsidRPr="002C592C">
        <w:rPr>
          <w:sz w:val="28"/>
          <w:szCs w:val="28"/>
          <w:lang w:val="uk-UA"/>
        </w:rPr>
        <w:t xml:space="preserve"> № </w:t>
      </w:r>
      <w:r w:rsidR="002C592C">
        <w:rPr>
          <w:sz w:val="28"/>
          <w:szCs w:val="28"/>
          <w:lang w:val="uk-UA"/>
        </w:rPr>
        <w:t>8</w:t>
      </w:r>
      <w:r w:rsidRPr="002C592C">
        <w:rPr>
          <w:sz w:val="28"/>
          <w:szCs w:val="28"/>
          <w:lang w:val="uk-UA"/>
        </w:rPr>
        <w:t>0</w:t>
      </w:r>
      <w:r w:rsidRPr="00B45C49">
        <w:rPr>
          <w:sz w:val="28"/>
          <w:szCs w:val="28"/>
          <w:lang w:val="uk-UA"/>
        </w:rPr>
        <w:t xml:space="preserve">  </w:t>
      </w:r>
    </w:p>
    <w:p w:rsidR="00A76366" w:rsidRDefault="00A76366" w:rsidP="00A76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A7636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ІНФОРМАЦІЯ ДЛЯ СПОЖИВАЧА</w:t>
      </w:r>
    </w:p>
    <w:p w:rsidR="00A76366" w:rsidRPr="00A76366" w:rsidRDefault="00A76366" w:rsidP="00A76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tbl>
      <w:tblPr>
        <w:tblStyle w:val="a5"/>
        <w:tblW w:w="11907" w:type="dxa"/>
        <w:tblInd w:w="1759" w:type="dxa"/>
        <w:tblLook w:val="04A0" w:firstRow="1" w:lastRow="0" w:firstColumn="1" w:lastColumn="0" w:noHBand="0" w:noVBand="1"/>
      </w:tblPr>
      <w:tblGrid>
        <w:gridCol w:w="5954"/>
        <w:gridCol w:w="5953"/>
      </w:tblGrid>
      <w:tr w:rsidR="00E86C14" w:rsidTr="006204D9">
        <w:trPr>
          <w:trHeight w:val="7247"/>
        </w:trPr>
        <w:tc>
          <w:tcPr>
            <w:tcW w:w="5954" w:type="dxa"/>
          </w:tcPr>
          <w:p w:rsidR="00C6169D" w:rsidRPr="00C6169D" w:rsidRDefault="00C6169D" w:rsidP="00C6169D">
            <w:pPr>
              <w:jc w:val="center"/>
              <w:rPr>
                <w:b/>
                <w:sz w:val="14"/>
                <w:szCs w:val="14"/>
              </w:rPr>
            </w:pPr>
            <w:bookmarkStart w:id="0" w:name="page1"/>
            <w:bookmarkEnd w:id="0"/>
            <w:proofErr w:type="spellStart"/>
            <w:r w:rsidRPr="00C6169D">
              <w:rPr>
                <w:b/>
                <w:sz w:val="14"/>
                <w:szCs w:val="14"/>
              </w:rPr>
              <w:t>Інформація</w:t>
            </w:r>
            <w:proofErr w:type="spellEnd"/>
            <w:r w:rsidRPr="00C6169D">
              <w:rPr>
                <w:b/>
                <w:sz w:val="14"/>
                <w:szCs w:val="14"/>
              </w:rPr>
              <w:t xml:space="preserve"> для </w:t>
            </w:r>
            <w:proofErr w:type="spellStart"/>
            <w:r w:rsidRPr="00C6169D">
              <w:rPr>
                <w:b/>
                <w:sz w:val="14"/>
                <w:szCs w:val="14"/>
              </w:rPr>
              <w:t>споживача</w:t>
            </w:r>
            <w:proofErr w:type="spellEnd"/>
          </w:p>
          <w:p w:rsidR="00C6169D" w:rsidRPr="00C6169D" w:rsidRDefault="00C6169D" w:rsidP="00C6169D">
            <w:pPr>
              <w:jc w:val="center"/>
              <w:rPr>
                <w:b/>
                <w:sz w:val="14"/>
                <w:szCs w:val="14"/>
              </w:rPr>
            </w:pPr>
          </w:p>
          <w:p w:rsidR="00C6169D" w:rsidRPr="00C6169D" w:rsidRDefault="00C6169D" w:rsidP="00C6169D">
            <w:pPr>
              <w:jc w:val="center"/>
              <w:rPr>
                <w:b/>
                <w:sz w:val="14"/>
                <w:szCs w:val="14"/>
                <w:lang w:val="uk-UA"/>
              </w:rPr>
            </w:pPr>
            <w:proofErr w:type="spellStart"/>
            <w:r w:rsidRPr="00C6169D">
              <w:rPr>
                <w:b/>
                <w:sz w:val="14"/>
                <w:szCs w:val="14"/>
                <w:lang w:val="uk-UA"/>
              </w:rPr>
              <w:t>Новарсил</w:t>
            </w:r>
            <w:proofErr w:type="spellEnd"/>
            <w:r w:rsidRPr="00C6169D">
              <w:rPr>
                <w:b/>
                <w:sz w:val="14"/>
                <w:szCs w:val="14"/>
                <w:lang w:val="uk-UA"/>
              </w:rPr>
              <w:t xml:space="preserve"> форте</w:t>
            </w:r>
          </w:p>
          <w:p w:rsidR="00C6169D" w:rsidRPr="00C6169D" w:rsidRDefault="00C6169D" w:rsidP="00C6169D">
            <w:pPr>
              <w:jc w:val="center"/>
              <w:rPr>
                <w:b/>
                <w:sz w:val="14"/>
                <w:szCs w:val="14"/>
                <w:lang w:val="uk-UA"/>
              </w:rPr>
            </w:pP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  <w:lang w:val="uk-UA"/>
              </w:rPr>
            </w:pPr>
            <w:r w:rsidRPr="00C6169D">
              <w:rPr>
                <w:rFonts w:cstheme="minorHAnsi"/>
                <w:b/>
                <w:sz w:val="14"/>
                <w:szCs w:val="14"/>
                <w:lang w:val="uk-UA"/>
              </w:rPr>
              <w:t>Склад однієї табл. 0,18 г: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 екстракт насіння розторопші – 100 мг; Допоміжні речовини: крохмаль, МКЦ, КМЦ, кальцію </w:t>
            </w:r>
            <w:proofErr w:type="spellStart"/>
            <w:r w:rsidRPr="00C6169D">
              <w:rPr>
                <w:rFonts w:cstheme="minorHAnsi"/>
                <w:sz w:val="14"/>
                <w:szCs w:val="14"/>
                <w:lang w:val="uk-UA"/>
              </w:rPr>
              <w:t>стеарат</w:t>
            </w:r>
            <w:proofErr w:type="spellEnd"/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  <w:lang w:val="uk-UA"/>
              </w:rPr>
              <w:t>аеросіл</w:t>
            </w:r>
            <w:proofErr w:type="spellEnd"/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, магнію карбонат основний, </w:t>
            </w:r>
            <w:proofErr w:type="spellStart"/>
            <w:r w:rsidRPr="00C6169D">
              <w:rPr>
                <w:rFonts w:cstheme="minorHAnsi"/>
                <w:sz w:val="14"/>
                <w:szCs w:val="14"/>
                <w:lang w:val="uk-UA"/>
              </w:rPr>
              <w:t>полівінілпіролідон</w:t>
            </w:r>
            <w:proofErr w:type="spellEnd"/>
            <w:r w:rsidRPr="00C6169D">
              <w:rPr>
                <w:rFonts w:cstheme="minorHAnsi"/>
                <w:sz w:val="14"/>
                <w:szCs w:val="14"/>
                <w:lang w:val="uk-UA"/>
              </w:rPr>
              <w:t>, титану діоксид, барвник харчовий, тальк, віск, вода.</w:t>
            </w:r>
          </w:p>
          <w:p w:rsidR="00C6169D" w:rsidRPr="00C6169D" w:rsidRDefault="00C6169D" w:rsidP="00C6169D">
            <w:pPr>
              <w:rPr>
                <w:rFonts w:cstheme="minorHAnsi"/>
                <w:b/>
                <w:sz w:val="14"/>
                <w:szCs w:val="14"/>
                <w:lang w:val="uk-UA"/>
              </w:rPr>
            </w:pPr>
            <w:r w:rsidRPr="00C6169D">
              <w:rPr>
                <w:rFonts w:cstheme="minorHAnsi"/>
                <w:b/>
                <w:sz w:val="14"/>
                <w:szCs w:val="14"/>
                <w:lang w:val="uk-UA"/>
              </w:rPr>
              <w:t>Загальна характеристика: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Препарати розторопші плямистої захищають тканини печінки при різних типах токсичних уражень, а також сприяють відновленню структури і функції клітин печінки на тлі вже розвиненого ураження. </w:t>
            </w:r>
            <w:r w:rsidRPr="00C6169D">
              <w:rPr>
                <w:rFonts w:cstheme="minorHAnsi"/>
                <w:sz w:val="14"/>
                <w:szCs w:val="14"/>
              </w:rPr>
              <w:t xml:space="preserve">З 400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біологічно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активних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компонентів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виявлених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розторопші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виділені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12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видів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З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було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виділено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три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окремі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ізомерних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сполуки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в т. 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>ч</w:t>
            </w:r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>сі</w:t>
            </w:r>
            <w:r w:rsidRPr="00C6169D">
              <w:rPr>
                <w:rFonts w:cstheme="minorHAnsi"/>
                <w:sz w:val="14"/>
                <w:szCs w:val="14"/>
              </w:rPr>
              <w:t>л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>і</w:t>
            </w:r>
            <w:r w:rsidRPr="00C6169D">
              <w:rPr>
                <w:rFonts w:cstheme="minorHAnsi"/>
                <w:sz w:val="14"/>
                <w:szCs w:val="14"/>
              </w:rPr>
              <w:t>б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>і</w:t>
            </w:r>
            <w:r w:rsidRPr="00C6169D">
              <w:rPr>
                <w:rFonts w:cstheme="minorHAnsi"/>
                <w:sz w:val="14"/>
                <w:szCs w:val="14"/>
              </w:rPr>
              <w:t>н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>і</w:t>
            </w:r>
            <w:r w:rsidRPr="00C6169D">
              <w:rPr>
                <w:rFonts w:cstheme="minorHAnsi"/>
                <w:sz w:val="14"/>
                <w:szCs w:val="14"/>
              </w:rPr>
              <w:t xml:space="preserve">н,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що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володіють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тій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чи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іншій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мірі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гепатопротекторною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активністю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b/>
                <w:sz w:val="14"/>
                <w:szCs w:val="14"/>
                <w:lang w:val="uk-UA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Механізм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дії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  <w:lang w:val="uk-UA"/>
              </w:rPr>
              <w:t>: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sz w:val="14"/>
                <w:szCs w:val="14"/>
              </w:rPr>
              <w:t>Механізм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препарату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пов'язаний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з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інгібуванням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перекисного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окислення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ліпідів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внаслідок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чого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запобігає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руйнування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клітинних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мембран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гепатоцитів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нейтралізує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вільні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радикали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печінці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Надмірне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накопичення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вільних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радикалів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і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продуктів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перекисного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окислення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ліпідів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є одним з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провідних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патогенетичних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механізмів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ураження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гепатоцитів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при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токсинів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егзогенного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і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ендогенного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походження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приводячи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зрештою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до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пошкодження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ліпідного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шару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клітинних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мембран,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руйнування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клітини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сприяє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регенерації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клітин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печінки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шляхом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активації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РНК-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полімерази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пошкоджених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гепатоцитах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препарат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стимулює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синтез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білків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і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фосфоліпідів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в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результаті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чого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відбувається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стабілізація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клітинних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мембран,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запобігає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втрата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компонентів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клітини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має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протизапальну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дію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за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рахунок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інгібування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синтезу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простагландинів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покращує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загальний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стан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осіб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із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захворюваннями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печінки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зменшує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суб'єктивні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скарги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слабкість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відчуття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тяжкості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правому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підребер'ї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втрата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апетиту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блювання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свербіж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шкіри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),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нормалізує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лабораторні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показники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активність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трансаміназ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гамма-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глутамілтрансферази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лужної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фосфатази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рівень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білірубіну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).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Очікуваний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ефект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гепатопротекторний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регенеруючий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дезінтоксикаційний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антиоксидантний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Показання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до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застосування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може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бути рекомендована, як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додаткове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джерело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флавоноглікана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силімарин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).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Сприяє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нормалізації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функціонування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печінки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sz w:val="14"/>
                <w:szCs w:val="14"/>
              </w:rPr>
              <w:t>Володіє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м'якими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антиоксидантними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та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гепатопротекторними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властивостями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sz w:val="14"/>
                <w:szCs w:val="14"/>
              </w:rPr>
              <w:t xml:space="preserve">Стани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після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перенесеного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гепатиту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вірусної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етіології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токсичні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та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лікарські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ураження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печінки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алкоголізм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і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алкогольні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інтоксикації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інтоксикації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галогенсодержащими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вуглеводнями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органічними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розчинниками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сполуками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важких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металів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медикаментозні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інтоксикації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отруєння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грибами та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інш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.);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хронічний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гепатит (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зокрема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підгостра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хронічна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персистуюча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або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хронічна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активна форма);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жировий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гепатоз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жирова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дистрофія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печінки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захворюваннях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жовчовивідних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шляхів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і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жовчного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міхура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(холецистит,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холангіт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дискінезії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жовчнокам'яна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хвороба);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гіперліпопротеїнемія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порушення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ліпідного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обміну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обмінно-репаративних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процесів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організмі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sz w:val="14"/>
                <w:szCs w:val="14"/>
              </w:rPr>
              <w:t xml:space="preserve">Перед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вживанням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рекомендовано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проконсультуватися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лікаря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755212" w:rsidRPr="00C6169D" w:rsidRDefault="00755212" w:rsidP="00C6169D">
            <w:pPr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  <w:tc>
          <w:tcPr>
            <w:tcW w:w="5953" w:type="dxa"/>
          </w:tcPr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Спосіб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застосування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дорослим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по 1-2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таблетці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3 рази на день за 30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 до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sz w:val="14"/>
                <w:szCs w:val="14"/>
              </w:rPr>
              <w:t>прийому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їжі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запити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склянкою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води.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b/>
                <w:sz w:val="14"/>
                <w:szCs w:val="14"/>
              </w:rPr>
              <w:t xml:space="preserve">Курс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прийому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8-12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тижнів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При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необхідності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вживання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можна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повторити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через 23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тижні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Застереження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не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перевищувати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рекомендовану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денну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норму. Продукт не є альтернативою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різноманітного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і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збалансованого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харчування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та здорового способу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життя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Протипоказання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індивідуальна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чутливість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до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компонентів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продукту,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діти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до 12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років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жінки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період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вагітності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та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період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лактації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Харчова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поживна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)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цінність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, г/100г:</w:t>
            </w:r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білки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- 0;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жири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- 0,5;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вуглеводи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- 81,5.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Енергетична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цінність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калорійність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), 100г: 338,8 ккал/1 405 кДж.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  <w:lang w:val="uk-UA"/>
              </w:rPr>
            </w:pPr>
            <w:r w:rsidRPr="00C6169D">
              <w:rPr>
                <w:rFonts w:cstheme="minorHAnsi"/>
                <w:sz w:val="14"/>
                <w:szCs w:val="14"/>
                <w:lang w:val="uk-UA"/>
              </w:rPr>
              <w:t>Дієтична добавка «</w:t>
            </w:r>
            <w:proofErr w:type="spellStart"/>
            <w:r w:rsidRPr="00C6169D">
              <w:rPr>
                <w:rFonts w:cstheme="minorHAnsi"/>
                <w:sz w:val="14"/>
                <w:szCs w:val="14"/>
                <w:lang w:val="uk-UA"/>
              </w:rPr>
              <w:t>Новарсил</w:t>
            </w:r>
            <w:proofErr w:type="spellEnd"/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 </w:t>
            </w:r>
            <w:r w:rsidR="00640E0A">
              <w:rPr>
                <w:rFonts w:cstheme="minorHAnsi"/>
                <w:sz w:val="14"/>
                <w:szCs w:val="14"/>
                <w:lang w:val="uk-UA"/>
              </w:rPr>
              <w:t>ф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>орте»</w:t>
            </w:r>
            <w:r w:rsidR="00640E0A">
              <w:rPr>
                <w:rFonts w:cstheme="minorHAnsi"/>
                <w:sz w:val="14"/>
                <w:szCs w:val="14"/>
                <w:lang w:val="uk-UA"/>
              </w:rPr>
              <w:t xml:space="preserve"> («</w:t>
            </w:r>
            <w:proofErr w:type="spellStart"/>
            <w:r w:rsidR="00640E0A">
              <w:rPr>
                <w:rFonts w:cstheme="minorHAnsi"/>
                <w:sz w:val="14"/>
                <w:szCs w:val="14"/>
                <w:lang w:val="uk-UA"/>
              </w:rPr>
              <w:t>Сілібінін</w:t>
            </w:r>
            <w:proofErr w:type="spellEnd"/>
            <w:r w:rsidR="00640E0A">
              <w:rPr>
                <w:rFonts w:cstheme="minorHAnsi"/>
                <w:sz w:val="14"/>
                <w:szCs w:val="14"/>
                <w:lang w:val="uk-UA"/>
              </w:rPr>
              <w:t>»)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. 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b/>
                <w:sz w:val="14"/>
                <w:szCs w:val="14"/>
                <w:lang w:val="uk-UA"/>
              </w:rPr>
              <w:t xml:space="preserve">Умови зберігання: 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зберігати в упаковці виробника, в сухому, захищеному від світла місці при температурі від 0°С до 25°С і відносній вологості повітря не більше 75%.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Зберігати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в недоступному для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дітей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місці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Термін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придатності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24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місяці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від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дати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виготовлення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b/>
                <w:sz w:val="14"/>
                <w:szCs w:val="14"/>
              </w:rPr>
              <w:t xml:space="preserve">Дата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виготовлення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 xml:space="preserve"> (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серія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):</w:t>
            </w:r>
            <w:r w:rsidRPr="00C6169D">
              <w:rPr>
                <w:rFonts w:cstheme="minorHAnsi"/>
                <w:sz w:val="14"/>
                <w:szCs w:val="14"/>
              </w:rPr>
              <w:t xml:space="preserve"> див. на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упаковці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gramStart"/>
            <w:r w:rsidRPr="00C6169D">
              <w:rPr>
                <w:rFonts w:cstheme="minorHAnsi"/>
                <w:sz w:val="14"/>
                <w:szCs w:val="14"/>
              </w:rPr>
              <w:t>ТУ У</w:t>
            </w:r>
            <w:proofErr w:type="gramEnd"/>
            <w:r w:rsidRPr="00C6169D">
              <w:rPr>
                <w:rFonts w:cstheme="minorHAnsi"/>
                <w:sz w:val="14"/>
                <w:szCs w:val="14"/>
              </w:rPr>
              <w:t xml:space="preserve"> 10.8-36226540-017: 2014.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b/>
                <w:sz w:val="14"/>
                <w:szCs w:val="14"/>
              </w:rPr>
              <w:t xml:space="preserve">Адреса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виробництва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61001,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Україна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,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 </w:t>
            </w:r>
            <w:r w:rsidRPr="00C6169D">
              <w:rPr>
                <w:rFonts w:cstheme="minorHAnsi"/>
                <w:sz w:val="14"/>
                <w:szCs w:val="14"/>
              </w:rPr>
              <w:t xml:space="preserve">м.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Харків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вул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Юр'ївська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, 17.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Виробник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ТОВ «Красота та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Здоров'я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»,</w:t>
            </w:r>
            <w:r w:rsidRPr="00C6169D">
              <w:rPr>
                <w:rFonts w:cstheme="minorHAnsi"/>
                <w:sz w:val="14"/>
                <w:szCs w:val="14"/>
                <w:lang w:val="uk-UA"/>
              </w:rPr>
              <w:t xml:space="preserve"> </w:t>
            </w:r>
            <w:r w:rsidRPr="00C6169D">
              <w:rPr>
                <w:rFonts w:cstheme="minorHAnsi"/>
                <w:sz w:val="14"/>
                <w:szCs w:val="14"/>
              </w:rPr>
              <w:t xml:space="preserve">61001,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Україна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м.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Харків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вул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Сомівська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, 12-Б;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14"/>
              </w:rPr>
            </w:pPr>
            <w:r w:rsidRPr="00C6169D">
              <w:rPr>
                <w:rFonts w:cstheme="minorHAnsi"/>
                <w:sz w:val="14"/>
                <w:szCs w:val="14"/>
              </w:rPr>
              <w:t>тел. +38 (057) 761-27-99;</w:t>
            </w:r>
          </w:p>
          <w:p w:rsidR="00C6169D" w:rsidRPr="00C6169D" w:rsidRDefault="00C6169D" w:rsidP="00C6169D">
            <w:pPr>
              <w:rPr>
                <w:rFonts w:cstheme="minorHAnsi"/>
                <w:sz w:val="14"/>
                <w:szCs w:val="24"/>
              </w:rPr>
            </w:pPr>
            <w:r w:rsidRPr="00C6169D">
              <w:rPr>
                <w:rFonts w:cstheme="minorHAnsi"/>
                <w:b/>
                <w:sz w:val="14"/>
                <w:szCs w:val="14"/>
              </w:rPr>
              <w:t xml:space="preserve">На </w:t>
            </w:r>
            <w:proofErr w:type="spellStart"/>
            <w:r w:rsidRPr="00C6169D">
              <w:rPr>
                <w:rFonts w:cstheme="minorHAnsi"/>
                <w:b/>
                <w:sz w:val="14"/>
                <w:szCs w:val="14"/>
              </w:rPr>
              <w:t>замовлення</w:t>
            </w:r>
            <w:proofErr w:type="spellEnd"/>
            <w:r w:rsidRPr="00C6169D">
              <w:rPr>
                <w:rFonts w:cstheme="minorHAnsi"/>
                <w:b/>
                <w:sz w:val="14"/>
                <w:szCs w:val="14"/>
              </w:rPr>
              <w:t>:</w:t>
            </w:r>
            <w:r w:rsidRPr="00C6169D">
              <w:rPr>
                <w:rFonts w:cstheme="minorHAnsi"/>
                <w:sz w:val="14"/>
                <w:szCs w:val="14"/>
              </w:rPr>
              <w:t xml:space="preserve"> ТОВ «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Інтенд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»,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Україна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69067, м.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Запоріжжя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вул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.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Лізи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6169D">
              <w:rPr>
                <w:rFonts w:cstheme="minorHAnsi"/>
                <w:sz w:val="14"/>
                <w:szCs w:val="14"/>
              </w:rPr>
              <w:t>Чайкіної</w:t>
            </w:r>
            <w:proofErr w:type="spellEnd"/>
            <w:r w:rsidRPr="00C6169D">
              <w:rPr>
                <w:rFonts w:cstheme="minorHAnsi"/>
                <w:sz w:val="14"/>
                <w:szCs w:val="14"/>
              </w:rPr>
              <w:t>, 53, тел. (061) 212-73-38.</w:t>
            </w:r>
          </w:p>
          <w:p w:rsidR="00E86C14" w:rsidRPr="00C6169D" w:rsidRDefault="00E86C14" w:rsidP="009F10E4">
            <w:pPr>
              <w:rPr>
                <w:rFonts w:ascii="Times New Roman" w:eastAsia="Times New Roman" w:hAnsi="Times New Roman" w:cs="Times New Roman"/>
                <w:sz w:val="14"/>
                <w:szCs w:val="24"/>
                <w:lang w:val="uk-UA" w:eastAsia="ru-RU"/>
              </w:rPr>
            </w:pPr>
            <w:bookmarkStart w:id="1" w:name="_GoBack"/>
            <w:bookmarkEnd w:id="1"/>
          </w:p>
        </w:tc>
      </w:tr>
    </w:tbl>
    <w:p w:rsidR="00052F4B" w:rsidRDefault="00052F4B" w:rsidP="00653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204D9" w:rsidRPr="00800B7B" w:rsidRDefault="006204D9" w:rsidP="006204D9">
      <w:pPr>
        <w:spacing w:after="0"/>
        <w:rPr>
          <w:sz w:val="18"/>
          <w:szCs w:val="28"/>
          <w:lang w:val="uk-UA"/>
        </w:rPr>
      </w:pPr>
      <w:r w:rsidRPr="00800B7B">
        <w:rPr>
          <w:sz w:val="18"/>
          <w:szCs w:val="28"/>
          <w:lang w:val="uk-UA"/>
        </w:rPr>
        <w:t>ВИЧИТАНО:</w:t>
      </w:r>
    </w:p>
    <w:p w:rsidR="006204D9" w:rsidRPr="00800B7B" w:rsidRDefault="006204D9" w:rsidP="006204D9">
      <w:pPr>
        <w:spacing w:after="0"/>
        <w:rPr>
          <w:sz w:val="18"/>
          <w:szCs w:val="28"/>
          <w:lang w:val="uk-UA"/>
        </w:rPr>
      </w:pPr>
      <w:r>
        <w:rPr>
          <w:sz w:val="18"/>
          <w:szCs w:val="28"/>
          <w:lang w:val="uk-UA"/>
        </w:rPr>
        <w:t xml:space="preserve">        </w:t>
      </w:r>
      <w:r w:rsidR="00B45C49">
        <w:rPr>
          <w:sz w:val="18"/>
          <w:szCs w:val="28"/>
          <w:lang w:val="uk-UA"/>
        </w:rPr>
        <w:t>Л</w:t>
      </w:r>
      <w:r w:rsidR="007915C3">
        <w:rPr>
          <w:sz w:val="18"/>
          <w:szCs w:val="28"/>
          <w:lang w:val="uk-UA"/>
        </w:rPr>
        <w:t>и</w:t>
      </w:r>
      <w:r w:rsidR="00B45C49">
        <w:rPr>
          <w:sz w:val="18"/>
          <w:szCs w:val="28"/>
          <w:lang w:val="uk-UA"/>
        </w:rPr>
        <w:t xml:space="preserve">сенко </w:t>
      </w:r>
      <w:r w:rsidR="007915C3">
        <w:rPr>
          <w:sz w:val="18"/>
          <w:szCs w:val="28"/>
          <w:lang w:val="uk-UA"/>
        </w:rPr>
        <w:t>О</w:t>
      </w:r>
      <w:r w:rsidR="00B45C49">
        <w:rPr>
          <w:sz w:val="18"/>
          <w:szCs w:val="28"/>
          <w:lang w:val="uk-UA"/>
        </w:rPr>
        <w:t xml:space="preserve">лександр </w:t>
      </w:r>
      <w:r>
        <w:rPr>
          <w:sz w:val="18"/>
          <w:szCs w:val="28"/>
          <w:lang w:val="uk-UA"/>
        </w:rPr>
        <w:t xml:space="preserve">    </w:t>
      </w:r>
      <w:r w:rsidRPr="00800B7B">
        <w:rPr>
          <w:sz w:val="18"/>
          <w:szCs w:val="28"/>
          <w:lang w:val="uk-UA"/>
        </w:rPr>
        <w:t>______________            _______________</w:t>
      </w:r>
    </w:p>
    <w:p w:rsidR="006204D9" w:rsidRPr="00800B7B" w:rsidRDefault="006204D9" w:rsidP="006204D9">
      <w:pPr>
        <w:spacing w:after="0"/>
        <w:rPr>
          <w:sz w:val="18"/>
          <w:szCs w:val="28"/>
          <w:lang w:val="uk-UA"/>
        </w:rPr>
      </w:pPr>
      <w:r w:rsidRPr="00800B7B">
        <w:rPr>
          <w:sz w:val="18"/>
          <w:szCs w:val="28"/>
          <w:lang w:val="uk-UA"/>
        </w:rPr>
        <w:t xml:space="preserve">                                                       (підпис)                            (дата)</w:t>
      </w:r>
    </w:p>
    <w:p w:rsidR="006204D9" w:rsidRDefault="006204D9" w:rsidP="006204D9">
      <w:pPr>
        <w:spacing w:after="0"/>
        <w:rPr>
          <w:sz w:val="18"/>
          <w:szCs w:val="28"/>
          <w:lang w:val="uk-UA"/>
        </w:rPr>
      </w:pPr>
    </w:p>
    <w:p w:rsidR="006204D9" w:rsidRPr="00800B7B" w:rsidRDefault="006204D9" w:rsidP="006204D9">
      <w:pPr>
        <w:spacing w:after="0"/>
        <w:rPr>
          <w:sz w:val="18"/>
          <w:szCs w:val="28"/>
          <w:lang w:val="uk-UA"/>
        </w:rPr>
      </w:pPr>
      <w:r>
        <w:rPr>
          <w:sz w:val="18"/>
          <w:szCs w:val="28"/>
          <w:lang w:val="uk-UA"/>
        </w:rPr>
        <w:t xml:space="preserve">        </w:t>
      </w:r>
      <w:proofErr w:type="spellStart"/>
      <w:r>
        <w:rPr>
          <w:sz w:val="18"/>
          <w:szCs w:val="28"/>
          <w:lang w:val="uk-UA"/>
        </w:rPr>
        <w:t>Л</w:t>
      </w:r>
      <w:r w:rsidR="007915C3">
        <w:rPr>
          <w:sz w:val="18"/>
          <w:szCs w:val="28"/>
          <w:lang w:val="uk-UA"/>
        </w:rPr>
        <w:t>і</w:t>
      </w:r>
      <w:r>
        <w:rPr>
          <w:sz w:val="18"/>
          <w:szCs w:val="28"/>
          <w:lang w:val="uk-UA"/>
        </w:rPr>
        <w:t>пс</w:t>
      </w:r>
      <w:r w:rsidR="007915C3">
        <w:rPr>
          <w:sz w:val="18"/>
          <w:szCs w:val="28"/>
          <w:lang w:val="uk-UA"/>
        </w:rPr>
        <w:t>ь</w:t>
      </w:r>
      <w:r>
        <w:rPr>
          <w:sz w:val="18"/>
          <w:szCs w:val="28"/>
          <w:lang w:val="uk-UA"/>
        </w:rPr>
        <w:t>ка</w:t>
      </w:r>
      <w:proofErr w:type="spellEnd"/>
      <w:r>
        <w:rPr>
          <w:sz w:val="18"/>
          <w:szCs w:val="28"/>
          <w:lang w:val="uk-UA"/>
        </w:rPr>
        <w:t xml:space="preserve"> Натал</w:t>
      </w:r>
      <w:r w:rsidR="007915C3">
        <w:rPr>
          <w:sz w:val="18"/>
          <w:szCs w:val="28"/>
          <w:lang w:val="uk-UA"/>
        </w:rPr>
        <w:t>і</w:t>
      </w:r>
      <w:r>
        <w:rPr>
          <w:sz w:val="18"/>
          <w:szCs w:val="28"/>
        </w:rPr>
        <w:t xml:space="preserve">я </w:t>
      </w:r>
      <w:r>
        <w:rPr>
          <w:sz w:val="18"/>
          <w:szCs w:val="28"/>
          <w:lang w:val="uk-UA"/>
        </w:rPr>
        <w:t xml:space="preserve">          </w:t>
      </w:r>
      <w:r w:rsidRPr="00800B7B">
        <w:rPr>
          <w:sz w:val="18"/>
          <w:szCs w:val="28"/>
          <w:lang w:val="uk-UA"/>
        </w:rPr>
        <w:t>______________            _______________</w:t>
      </w:r>
    </w:p>
    <w:p w:rsidR="006204D9" w:rsidRPr="00800B7B" w:rsidRDefault="006204D9" w:rsidP="006204D9">
      <w:pPr>
        <w:spacing w:after="0"/>
        <w:rPr>
          <w:sz w:val="18"/>
          <w:szCs w:val="28"/>
          <w:lang w:val="uk-UA"/>
        </w:rPr>
      </w:pPr>
      <w:r w:rsidRPr="00800B7B">
        <w:rPr>
          <w:sz w:val="18"/>
          <w:szCs w:val="28"/>
          <w:lang w:val="uk-UA"/>
        </w:rPr>
        <w:t xml:space="preserve">                                                       (підпис)                            (дата)</w:t>
      </w:r>
    </w:p>
    <w:p w:rsidR="006204D9" w:rsidRDefault="006204D9" w:rsidP="00653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6204D9" w:rsidSect="00BA20C5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7F7"/>
    <w:rsid w:val="00052F4B"/>
    <w:rsid w:val="00085400"/>
    <w:rsid w:val="000F697F"/>
    <w:rsid w:val="00133864"/>
    <w:rsid w:val="00142A21"/>
    <w:rsid w:val="002258E0"/>
    <w:rsid w:val="00241E1E"/>
    <w:rsid w:val="002523DC"/>
    <w:rsid w:val="002C592C"/>
    <w:rsid w:val="00302D97"/>
    <w:rsid w:val="003400A7"/>
    <w:rsid w:val="003A2315"/>
    <w:rsid w:val="003C5B8B"/>
    <w:rsid w:val="0040010E"/>
    <w:rsid w:val="00420F48"/>
    <w:rsid w:val="004401F1"/>
    <w:rsid w:val="00444713"/>
    <w:rsid w:val="0048110A"/>
    <w:rsid w:val="004B1EBB"/>
    <w:rsid w:val="00602B7B"/>
    <w:rsid w:val="006204D9"/>
    <w:rsid w:val="00621938"/>
    <w:rsid w:val="006374BE"/>
    <w:rsid w:val="00640E0A"/>
    <w:rsid w:val="00653974"/>
    <w:rsid w:val="006A3EA4"/>
    <w:rsid w:val="007339AD"/>
    <w:rsid w:val="00741727"/>
    <w:rsid w:val="00755212"/>
    <w:rsid w:val="007915C3"/>
    <w:rsid w:val="00811502"/>
    <w:rsid w:val="008D0AED"/>
    <w:rsid w:val="0090131D"/>
    <w:rsid w:val="00910F49"/>
    <w:rsid w:val="009313BB"/>
    <w:rsid w:val="009429CD"/>
    <w:rsid w:val="009C670F"/>
    <w:rsid w:val="009F10E4"/>
    <w:rsid w:val="00A344B1"/>
    <w:rsid w:val="00A745A1"/>
    <w:rsid w:val="00A76366"/>
    <w:rsid w:val="00A95542"/>
    <w:rsid w:val="00B178D5"/>
    <w:rsid w:val="00B45C49"/>
    <w:rsid w:val="00BA20C5"/>
    <w:rsid w:val="00BC2A5F"/>
    <w:rsid w:val="00BE699E"/>
    <w:rsid w:val="00C237F7"/>
    <w:rsid w:val="00C6169D"/>
    <w:rsid w:val="00C7524D"/>
    <w:rsid w:val="00D3101B"/>
    <w:rsid w:val="00DB2F60"/>
    <w:rsid w:val="00DD6832"/>
    <w:rsid w:val="00E40368"/>
    <w:rsid w:val="00E429A1"/>
    <w:rsid w:val="00E86C14"/>
    <w:rsid w:val="00EB579D"/>
    <w:rsid w:val="00ED1FBC"/>
    <w:rsid w:val="00ED77EC"/>
    <w:rsid w:val="00EF23D9"/>
    <w:rsid w:val="00F30AF6"/>
    <w:rsid w:val="00FC2BC4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7687"/>
  <w15:docId w15:val="{A49DC739-5CD6-47F0-AE59-5F7FA539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2D9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DB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rsid w:val="0048110A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ind w:firstLine="426"/>
      <w:textAlignment w:val="baseline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48110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8">
    <w:name w:val="Normal (Web)"/>
    <w:basedOn w:val="a"/>
    <w:rsid w:val="0048110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9">
    <w:name w:val="Обычный + полужирный"/>
    <w:aliases w:val="Черный"/>
    <w:basedOn w:val="a"/>
    <w:link w:val="aa"/>
    <w:uiPriority w:val="99"/>
    <w:rsid w:val="00E40368"/>
    <w:pPr>
      <w:widowControl w:val="0"/>
      <w:tabs>
        <w:tab w:val="left" w:pos="9781"/>
      </w:tabs>
      <w:suppressAutoHyphens/>
      <w:spacing w:after="0" w:line="240" w:lineRule="auto"/>
      <w:ind w:right="-57"/>
      <w:jc w:val="both"/>
    </w:pPr>
    <w:rPr>
      <w:rFonts w:ascii="Arial" w:eastAsia="Times New Roman" w:hAnsi="Arial" w:cs="Times New Roman"/>
      <w:b/>
      <w:bCs/>
      <w:color w:val="000000"/>
      <w:kern w:val="1"/>
      <w:szCs w:val="20"/>
      <w:lang w:val="uk-UA" w:eastAsia="ar-SA"/>
    </w:rPr>
  </w:style>
  <w:style w:type="character" w:customStyle="1" w:styleId="aa">
    <w:name w:val="Обычный + полужирный Знак"/>
    <w:aliases w:val="Черный Знак"/>
    <w:link w:val="a9"/>
    <w:locked/>
    <w:rsid w:val="00E40368"/>
    <w:rPr>
      <w:rFonts w:ascii="Arial" w:eastAsia="Times New Roman" w:hAnsi="Arial" w:cs="Times New Roman"/>
      <w:b/>
      <w:bCs/>
      <w:color w:val="000000"/>
      <w:kern w:val="1"/>
      <w:szCs w:val="20"/>
      <w:lang w:val="uk-UA" w:eastAsia="ar-SA"/>
    </w:rPr>
  </w:style>
  <w:style w:type="paragraph" w:styleId="ab">
    <w:name w:val="List Paragraph"/>
    <w:basedOn w:val="a"/>
    <w:uiPriority w:val="34"/>
    <w:qFormat/>
    <w:rsid w:val="0075521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c">
    <w:name w:val="Основной текст_"/>
    <w:basedOn w:val="a0"/>
    <w:link w:val="2"/>
    <w:rsid w:val="00FC2BC4"/>
    <w:rPr>
      <w:rFonts w:ascii="Arial" w:eastAsia="Arial" w:hAnsi="Arial" w:cs="Arial"/>
      <w:sz w:val="18"/>
      <w:szCs w:val="18"/>
    </w:rPr>
  </w:style>
  <w:style w:type="character" w:customStyle="1" w:styleId="ad">
    <w:name w:val="Основной текст + Полужирный"/>
    <w:basedOn w:val="ac"/>
    <w:rsid w:val="00FC2BC4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lang w:val="uk-UA" w:eastAsia="uk-UA" w:bidi="uk-UA"/>
    </w:rPr>
  </w:style>
  <w:style w:type="character" w:customStyle="1" w:styleId="ae">
    <w:name w:val="Подпись к таблице_"/>
    <w:basedOn w:val="a0"/>
    <w:link w:val="af"/>
    <w:rsid w:val="00FC2BC4"/>
    <w:rPr>
      <w:rFonts w:ascii="Arial" w:eastAsia="Arial" w:hAnsi="Arial" w:cs="Arial"/>
      <w:b/>
      <w:bCs/>
      <w:sz w:val="18"/>
      <w:szCs w:val="18"/>
    </w:rPr>
  </w:style>
  <w:style w:type="character" w:customStyle="1" w:styleId="1">
    <w:name w:val="Основной текст1"/>
    <w:basedOn w:val="ac"/>
    <w:rsid w:val="00FC2BC4"/>
    <w:rPr>
      <w:rFonts w:ascii="Arial" w:eastAsia="Arial" w:hAnsi="Arial" w:cs="Arial"/>
      <w:color w:val="000000"/>
      <w:spacing w:val="0"/>
      <w:w w:val="100"/>
      <w:position w:val="0"/>
      <w:sz w:val="18"/>
      <w:szCs w:val="18"/>
      <w:lang w:val="uk-UA" w:eastAsia="uk-UA" w:bidi="uk-UA"/>
    </w:rPr>
  </w:style>
  <w:style w:type="paragraph" w:customStyle="1" w:styleId="2">
    <w:name w:val="Основной текст2"/>
    <w:basedOn w:val="a"/>
    <w:link w:val="ac"/>
    <w:rsid w:val="00FC2BC4"/>
    <w:pPr>
      <w:widowControl w:val="0"/>
      <w:spacing w:before="180" w:after="180" w:line="202" w:lineRule="exact"/>
    </w:pPr>
    <w:rPr>
      <w:rFonts w:ascii="Arial" w:eastAsia="Arial" w:hAnsi="Arial" w:cs="Arial"/>
      <w:sz w:val="18"/>
      <w:szCs w:val="18"/>
    </w:rPr>
  </w:style>
  <w:style w:type="paragraph" w:customStyle="1" w:styleId="af">
    <w:name w:val="Подпись к таблице"/>
    <w:basedOn w:val="a"/>
    <w:link w:val="ae"/>
    <w:rsid w:val="00FC2BC4"/>
    <w:pPr>
      <w:widowControl w:val="0"/>
      <w:spacing w:after="0" w:line="0" w:lineRule="atLeast"/>
    </w:pPr>
    <w:rPr>
      <w:rFonts w:ascii="Arial" w:eastAsia="Arial" w:hAnsi="Arial" w:cs="Arial"/>
      <w:b/>
      <w:bCs/>
      <w:sz w:val="18"/>
      <w:szCs w:val="18"/>
    </w:rPr>
  </w:style>
  <w:style w:type="paragraph" w:styleId="af0">
    <w:name w:val="No Spacing"/>
    <w:uiPriority w:val="1"/>
    <w:qFormat/>
    <w:rsid w:val="00420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32</cp:revision>
  <cp:lastPrinted>2018-07-04T13:33:00Z</cp:lastPrinted>
  <dcterms:created xsi:type="dcterms:W3CDTF">2017-03-31T13:39:00Z</dcterms:created>
  <dcterms:modified xsi:type="dcterms:W3CDTF">2019-01-18T08:12:00Z</dcterms:modified>
</cp:coreProperties>
</file>