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Liberation Sans" w:hAnsi="Liberation Sans"/>
          <w:b/>
          <w:color w:val="17324D"/>
          <w:sz w:val="62"/>
        </w:rPr>
        <w:t>FROM THESIS</w:t>
        <w:br/>
        <w:t>TO TEST</w:t>
      </w:r>
    </w:p>
    <w:p>
      <w:pPr>
        <w:pStyle w:val="Subtitle"/>
      </w:pPr>
      <w:r>
        <w:t>A practical research protocol for the yen-carry / collateral-regime model</w:t>
      </w:r>
    </w:p>
    <w:tbl>
      <w:tblPr>
        <w:tblW w:type="auto" w:w="0"/>
        <w:tblLook w:firstColumn="1" w:firstRow="1" w:lastColumn="0" w:lastRow="0" w:noHBand="0" w:noVBand="1" w:val="04A0"/>
      </w:tblPr>
      <w:tblGrid>
        <w:gridCol w:w="10166"/>
      </w:tblGrid>
      <w:tr>
        <w:tc>
          <w:tcPr>
            <w:tcW w:type="dxa" w:w="10166"/>
            <w:shd w:fill="2F6F74"/>
            <w:tcMar>
              <w:top w:w="18" w:type="dxa"/>
              <w:start w:w="90" w:type="dxa"/>
              <w:bottom w:w="18" w:type="dxa"/>
              <w:end w:w="90" w:type="dxa"/>
            </w:tcMar>
          </w:tcPr>
          <w:p>
            <w:r/>
          </w:p>
        </w:tc>
        <w:trPr>
          <w:tblHeader/>
        </w:trPr>
      </w:tr>
    </w:tbl>
    <w:p>
      <w:pPr>
        <w:spacing w:before="440" w:after="100"/>
      </w:pPr>
      <w:r>
        <w:rPr>
          <w:rFonts w:ascii="Liberation Sans" w:hAnsi="Liberation Sans"/>
          <w:b/>
          <w:color w:val="17324D"/>
          <w:sz w:val="26"/>
        </w:rPr>
        <w:t>Working note for Tom Luongo</w:t>
      </w:r>
    </w:p>
    <w:p>
      <w:pPr>
        <w:spacing w:after="80"/>
      </w:pPr>
      <w:r>
        <w:rPr>
          <w:rFonts w:ascii="Liberation Sans" w:hAnsi="Liberation Sans"/>
          <w:color w:val="444B52"/>
          <w:sz w:val="21"/>
        </w:rPr>
        <w:t>Prepared for discussion and model review</w:t>
      </w:r>
    </w:p>
    <w:p>
      <w:r>
        <w:rPr>
          <w:rFonts w:ascii="Liberation Sans" w:hAnsi="Liberation Sans"/>
          <w:color w:val="6B737B"/>
          <w:sz w:val="19"/>
        </w:rPr>
        <w:t>August 2026  |  Jason St George</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EAF0F6"/>
            <w:tcMar>
              <w:top w:w="150" w:type="dxa"/>
              <w:start w:w="180" w:type="dxa"/>
              <w:bottom w:w="150" w:type="dxa"/>
              <w:end w:w="180" w:type="dxa"/>
            </w:tcMar>
            <w:tcBorders>
              <w:top w:val="single" w:sz="8" w:color="17324D"/>
              <w:left w:val="single" w:sz="8" w:color="17324D"/>
              <w:bottom w:val="single" w:sz="8" w:color="17324D"/>
              <w:right w:val="single" w:sz="8" w:color="17324D"/>
            </w:tcBorders>
          </w:tcPr>
          <w:p>
            <w:pPr>
              <w:spacing w:after="80"/>
            </w:pPr>
            <w:r>
              <w:rPr>
                <w:rFonts w:ascii="Liberation Sans" w:hAnsi="Liberation Sans"/>
                <w:b/>
                <w:color w:val="17324D"/>
                <w:sz w:val="21"/>
              </w:rPr>
              <w:t>Purpose</w:t>
            </w:r>
          </w:p>
          <w:p>
            <w:pPr>
              <w:spacing w:after="0" w:line="254" w:lineRule="auto"/>
            </w:pPr>
            <w:r>
              <w:rPr>
                <w:rFonts w:ascii="Liberation Sans" w:hAnsi="Liberation Sans"/>
                <w:color w:val="444B52"/>
                <w:sz w:val="18"/>
              </w:rPr>
              <w:t>Preserve the model as stated, specify the balance sheets and trades it requires, and give the data a fair chance to strengthen or falsify each link. This is not a verdict and not a generic macro rewrite.</w:t>
            </w:r>
          </w:p>
        </w:tc>
      </w:tr>
    </w:tbl>
    <w:p>
      <w:pPr>
        <w:spacing w:after="0"/>
      </w:pPr>
    </w:p>
    <w:p>
      <w:r>
        <w:rPr>
          <w:i/>
        </w:rPr>
        <w:t>Based on: Episode #255 with Larry Lepard (Aug. 6, 2026) and the Aug. 9, 2026 market report.</w:t>
      </w:r>
    </w:p>
    <w:p>
      <w:r>
        <w:br w:type="page"/>
      </w:r>
    </w:p>
    <w:p>
      <w:pPr>
        <w:pStyle w:val="Heading1"/>
      </w:pPr>
      <w:r>
        <w:t>1. Tom - what this is and why I built it</w:t>
      </w:r>
    </w:p>
    <w:p>
      <w:r>
        <w:t>I tried to translate the model in the Lepard conversation and the August 9 report into an instrument you can actually use: a set of balance sheets, equations, observable variables, event tests, and explicit failure conditions.</w:t>
      </w:r>
    </w:p>
    <w:p>
      <w:r>
        <w:t>The aim is not to flatten the thesis into “Japan matters” or “Europe is weak.” The interesting claim is much more specific: BOJ normalization and yen appreciation are supposed to compress a load-bearing funding structure, force a leveraged unwind through London and Europe, redirect capital toward the United States and Japan, and push gold higher as the system upgrades its collateral rather than simply collapses.</w:t>
      </w:r>
    </w:p>
    <w:p>
      <w:r>
        <w:t>That chain is strong enough to generate distinctive predictions. It is also specific enough to be wrong. The useful outcome is therefore not a binary proof. It is a map of which links survive contact with real data, which need revision, and which should be abandoned.</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FAF2DF"/>
            <w:tcMar>
              <w:top w:w="150" w:type="dxa"/>
              <w:start w:w="180" w:type="dxa"/>
              <w:bottom w:w="150" w:type="dxa"/>
              <w:end w:w="180" w:type="dxa"/>
            </w:tcMar>
            <w:tcBorders>
              <w:top w:val="single" w:sz="8" w:color="B8842B"/>
              <w:left w:val="single" w:sz="8" w:color="B8842B"/>
              <w:bottom w:val="single" w:sz="8" w:color="B8842B"/>
              <w:right w:val="single" w:sz="8" w:color="B8842B"/>
            </w:tcBorders>
          </w:tcPr>
          <w:p>
            <w:pPr>
              <w:spacing w:after="80"/>
            </w:pPr>
            <w:r>
              <w:rPr>
                <w:rFonts w:ascii="Liberation Sans" w:hAnsi="Liberation Sans"/>
                <w:b/>
                <w:color w:val="B8842B"/>
                <w:sz w:val="21"/>
              </w:rPr>
              <w:t>The central discipline</w:t>
            </w:r>
          </w:p>
          <w:p>
            <w:pPr>
              <w:spacing w:after="0" w:line="254" w:lineRule="auto"/>
            </w:pPr>
            <w:r>
              <w:rPr>
                <w:rFonts w:ascii="Liberation Sans" w:hAnsi="Liberation Sans"/>
                <w:color w:val="444B52"/>
                <w:sz w:val="18"/>
              </w:rPr>
              <w:t>Europe weakening and gold rising are endpoints. They do not identify the mechanism. The model earns support only if the intermediate carry, positioning, collateral, funding, and capital-flow links appear in the required order.</w:t>
            </w:r>
          </w:p>
        </w:tc>
      </w:tr>
    </w:tbl>
    <w:p>
      <w:pPr>
        <w:spacing w:after="0"/>
      </w:pPr>
    </w:p>
    <w:p>
      <w:pPr>
        <w:jc w:val="center"/>
      </w:pPr>
      <w:r>
        <w:drawing>
          <wp:inline xmlns:a="http://schemas.openxmlformats.org/drawingml/2006/main" xmlns:pic="http://schemas.openxmlformats.org/drawingml/2006/picture">
            <wp:extent cx="6400800" cy="1880689"/>
            <wp:docPr id="1" name="Picture 1" descr="Image: image1.png"/>
            <wp:cNvGraphicFramePr>
              <a:graphicFrameLocks noChangeAspect="1"/>
            </wp:cNvGraphicFramePr>
            <a:graphic>
              <a:graphicData uri="http://schemas.openxmlformats.org/drawingml/2006/picture">
                <pic:pic>
                  <pic:nvPicPr>
                    <pic:cNvPr id="0" name="causal_sequence.png"/>
                    <pic:cNvPicPr/>
                  </pic:nvPicPr>
                  <pic:blipFill>
                    <a:blip r:embed="rId11"/>
                    <a:stretch>
                      <a:fillRect/>
                    </a:stretch>
                  </pic:blipFill>
                  <pic:spPr>
                    <a:xfrm>
                      <a:off x="0" y="0"/>
                      <a:ext cx="6400800" cy="1880689"/>
                    </a:xfrm>
                    <a:prstGeom prst="rect"/>
                  </pic:spPr>
                </pic:pic>
              </a:graphicData>
            </a:graphic>
          </wp:inline>
        </w:drawing>
      </w:r>
    </w:p>
    <w:p>
      <w:pPr>
        <w:spacing w:before="20" w:after="40"/>
      </w:pPr>
      <w:r>
        <w:rPr>
          <w:rFonts w:ascii="Liberation Sans" w:hAnsi="Liberation Sans"/>
          <w:i/>
          <w:color w:val="6B737B"/>
          <w:sz w:val="15"/>
        </w:rPr>
        <w:t>Figure 1. Proposed causal sequence. The code tests each arrow separately where public or supplied data permit.</w:t>
      </w:r>
    </w:p>
    <w:p>
      <w:pPr>
        <w:pStyle w:val="Heading2"/>
      </w:pPr>
      <w:r>
        <w:t>What I would want you to confirm first</w:t>
      </w:r>
    </w:p>
    <w:p>
      <w:pPr>
        <w:spacing w:after="60" w:line="254" w:lineRule="auto"/>
        <w:ind w:left="346" w:hanging="346"/>
      </w:pPr>
      <w:r>
        <w:rPr>
          <w:rFonts w:ascii="Liberation Sans" w:hAnsi="Liberation Sans"/>
          <w:color w:val="444B52"/>
          <w:sz w:val="19"/>
        </w:rPr>
        <w:t xml:space="preserve">1.  </w:t>
      </w:r>
      <w:r>
        <w:rPr>
          <w:rFonts w:ascii="Liberation Sans" w:hAnsi="Liberation Sans"/>
          <w:sz w:val="19"/>
        </w:rPr>
        <w:t>What is the representative trade: direct JPY-to-EUR funding, JPY-to-USD-to-EUR, long Bund/short JGB, BTP carry, European bank credit, or a broader risk portfolio?</w:t>
      </w:r>
    </w:p>
    <w:p>
      <w:pPr>
        <w:spacing w:after="60" w:line="254" w:lineRule="auto"/>
        <w:ind w:left="346" w:hanging="346"/>
      </w:pPr>
      <w:r>
        <w:rPr>
          <w:rFonts w:ascii="Liberation Sans" w:hAnsi="Liberation Sans"/>
          <w:color w:val="444B52"/>
          <w:sz w:val="19"/>
        </w:rPr>
        <w:t xml:space="preserve">2.  </w:t>
      </w:r>
      <w:r>
        <w:rPr>
          <w:rFonts w:ascii="Liberation Sans" w:hAnsi="Liberation Sans"/>
          <w:sz w:val="19"/>
        </w:rPr>
        <w:t>What hedge ratio and hedge tenor best describe the vulnerable book? A fully hedged one-year trade behaves very differently from a long European asset financed with repeatedly rolled one-month yen hedges.</w:t>
      </w:r>
    </w:p>
    <w:p>
      <w:pPr>
        <w:spacing w:after="60" w:line="254" w:lineRule="auto"/>
        <w:ind w:left="346" w:hanging="346"/>
      </w:pPr>
      <w:r>
        <w:rPr>
          <w:rFonts w:ascii="Liberation Sans" w:hAnsi="Liberation Sans"/>
          <w:color w:val="444B52"/>
          <w:sz w:val="19"/>
        </w:rPr>
        <w:t xml:space="preserve">3.  </w:t>
      </w:r>
      <w:r>
        <w:rPr>
          <w:rFonts w:ascii="Liberation Sans" w:hAnsi="Liberation Sans"/>
          <w:sz w:val="19"/>
        </w:rPr>
        <w:t>Which institutions are expected to take the loss: UK dealers, European banks, pensions, hedge funds, sovereign books, or some combination?</w:t>
      </w:r>
    </w:p>
    <w:p>
      <w:pPr>
        <w:spacing w:after="60" w:line="254" w:lineRule="auto"/>
        <w:ind w:left="346" w:hanging="346"/>
      </w:pPr>
      <w:r>
        <w:rPr>
          <w:rFonts w:ascii="Liberation Sans" w:hAnsi="Liberation Sans"/>
          <w:color w:val="444B52"/>
          <w:sz w:val="19"/>
        </w:rPr>
        <w:t xml:space="preserve">4.  </w:t>
      </w:r>
      <w:r>
        <w:rPr>
          <w:rFonts w:ascii="Liberation Sans" w:hAnsi="Liberation Sans"/>
          <w:sz w:val="19"/>
        </w:rPr>
        <w:t>What exact operation do you mean by recent U.S.-Japan support: spot FX intervention, a Fed dollar swap, ESF action, repo/credit support, verbal intervention, or several coordinated legs?</w:t>
      </w:r>
    </w:p>
    <w:p>
      <w:pPr>
        <w:spacing w:after="60" w:line="254" w:lineRule="auto"/>
        <w:ind w:left="346" w:hanging="346"/>
      </w:pPr>
      <w:r>
        <w:rPr>
          <w:rFonts w:ascii="Liberation Sans" w:hAnsi="Liberation Sans"/>
          <w:color w:val="444B52"/>
          <w:sz w:val="19"/>
        </w:rPr>
        <w:t xml:space="preserve">5.  </w:t>
      </w:r>
      <w:r>
        <w:rPr>
          <w:rFonts w:ascii="Liberation Sans" w:hAnsi="Liberation Sans"/>
          <w:sz w:val="19"/>
        </w:rPr>
        <w:t>What observable would distinguish London or Europe as the economic loss center from London, Belgium, Luxembourg, or Cayman merely acting as a booking, trading, or custody center?</w:t>
      </w:r>
    </w:p>
    <w:p>
      <w:pPr>
        <w:spacing w:after="60" w:line="254" w:lineRule="auto"/>
        <w:ind w:left="346" w:hanging="346"/>
      </w:pPr>
      <w:r>
        <w:rPr>
          <w:rFonts w:ascii="Liberation Sans" w:hAnsi="Liberation Sans"/>
          <w:color w:val="444B52"/>
          <w:sz w:val="19"/>
        </w:rPr>
        <w:t xml:space="preserve">6.  </w:t>
      </w:r>
      <w:r>
        <w:rPr>
          <w:rFonts w:ascii="Liberation Sans" w:hAnsi="Liberation Sans"/>
          <w:sz w:val="19"/>
        </w:rPr>
        <w:t>What legal and accounting route do you envision for a gold revaluation to enter the monetary system?</w:t>
      </w:r>
    </w:p>
    <w:p>
      <w:pPr>
        <w:spacing w:after="60" w:line="254" w:lineRule="auto"/>
        <w:ind w:left="346" w:hanging="346"/>
      </w:pPr>
      <w:r>
        <w:rPr>
          <w:rFonts w:ascii="Liberation Sans" w:hAnsi="Liberation Sans"/>
          <w:color w:val="444B52"/>
          <w:sz w:val="19"/>
        </w:rPr>
        <w:t xml:space="preserve">7.  </w:t>
      </w:r>
      <w:r>
        <w:rPr>
          <w:rFonts w:ascii="Liberation Sans" w:hAnsi="Liberation Sans"/>
          <w:sz w:val="19"/>
        </w:rPr>
        <w:t>Which dates and sign predictions should be frozen now, before running the tests?</w:t>
      </w:r>
    </w:p>
    <w:p>
      <w:pPr>
        <w:pStyle w:val="Heading1"/>
      </w:pPr>
      <w:r>
        <w:t>2. The model, stated as nested hypotheses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Hypothesis</w:t>
            </w:r>
          </w:p>
        </w:tc>
        <w:tc>
          <w:tcPr>
            <w:tcW w:type="dxa" w:w="1944"/>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Layer</w:t>
            </w:r>
          </w:p>
        </w:tc>
        <w:tc>
          <w:tcPr>
            <w:tcW w:type="dxa" w:w="720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Testable claim</w:t>
            </w:r>
          </w:p>
        </w:tc>
      </w:tr>
      <w:tr>
        <w:trPr>
          <w:cantSplit/>
        </w:trPr>
        <w:tc>
          <w:tcPr>
            <w:tcW w:type="dxa" w:w="9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H1</w:t>
            </w:r>
          </w:p>
        </w:tc>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Carry compression</w:t>
            </w:r>
          </w:p>
        </w:tc>
        <w:tc>
          <w:tcPr>
            <w:tcW w:type="dxa" w:w="72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BOJ normalization and/or yen appreciation reduce the all-in return on JPY-funded European positions.</w:t>
            </w:r>
          </w:p>
        </w:tc>
      </w:tr>
      <w:tr>
        <w:trPr>
          <w:cantSplit/>
        </w:trPr>
        <w:tc>
          <w:tcPr>
            <w:tcW w:type="dxa" w:w="9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H2</w:t>
            </w:r>
          </w:p>
        </w:tc>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European incidence</w:t>
            </w:r>
          </w:p>
        </w:tc>
        <w:tc>
          <w:tcPr>
            <w:tcW w:type="dxa" w:w="72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The unwind produces disproportionate stress in European / London institutions and sovereign markets.</w:t>
            </w:r>
          </w:p>
        </w:tc>
      </w:tr>
      <w:tr>
        <w:trPr>
          <w:cantSplit/>
        </w:trPr>
        <w:tc>
          <w:tcPr>
            <w:tcW w:type="dxa" w:w="9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H3</w:t>
            </w:r>
          </w:p>
        </w:tc>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Policy containment</w:t>
            </w:r>
          </w:p>
        </w:tc>
        <w:tc>
          <w:tcPr>
            <w:tcW w:type="dxa" w:w="72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U.S.-Japan support contains dollar-funding stress while still forcing the targeted carry structure to contract.</w:t>
            </w:r>
          </w:p>
        </w:tc>
      </w:tr>
      <w:tr>
        <w:trPr>
          <w:cantSplit/>
        </w:trPr>
        <w:tc>
          <w:tcPr>
            <w:tcW w:type="dxa" w:w="9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H4</w:t>
            </w:r>
          </w:p>
        </w:tc>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Regime migration</w:t>
            </w:r>
          </w:p>
        </w:tc>
        <w:tc>
          <w:tcPr>
            <w:tcW w:type="dxa" w:w="72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Capital shifts toward a more Treasury-, stablecoin-, and hard-collateral-centered dollar system.</w:t>
            </w:r>
          </w:p>
        </w:tc>
      </w:tr>
      <w:tr>
        <w:trPr>
          <w:cantSplit/>
        </w:trPr>
        <w:tc>
          <w:tcPr>
            <w:tcW w:type="dxa" w:w="9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H5</w:t>
            </w:r>
          </w:p>
        </w:tc>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Deliberate design</w:t>
            </w:r>
          </w:p>
        </w:tc>
        <w:tc>
          <w:tcPr>
            <w:tcW w:type="dxa" w:w="72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The sequence reflects an intentional policy strategy rather than an emergent response to market stress.</w:t>
            </w:r>
          </w:p>
        </w:tc>
      </w:tr>
    </w:tbl>
    <w:p/>
    <w:p>
      <w:r>
        <w:t>H1-H4 are economic hypotheses. They can be tested with prices, positions, flows, margins, and balance sheets. H5 is a claim about intent. Price data can support the mechanism, but intent requires documents, disclosed operations, or institution-specific transaction evidence.</w:t>
      </w:r>
    </w:p>
    <w:p>
      <w:pPr>
        <w:spacing w:before="80" w:after="100"/>
        <w:jc w:val="center"/>
      </w:pPr>
      <w:r>
        <w:rPr>
          <w:rFonts w:ascii="Liberation Mono" w:hAnsi="Liberation Mono"/>
          <w:color w:val="17324D"/>
          <w:sz w:val="18"/>
        </w:rPr>
        <w:t>BOJ shock -&gt; yen up -&gt; effective carry down -&gt; positions down -&gt; Europe stress up -&gt; capital migration</w:t>
      </w:r>
    </w:p>
    <w:p>
      <w:pPr>
        <w:spacing w:before="80" w:after="100"/>
        <w:jc w:val="center"/>
      </w:pPr>
      <w:r>
        <w:rPr>
          <w:rFonts w:ascii="Liberation Mono" w:hAnsi="Liberation Mono"/>
          <w:color w:val="17324D"/>
          <w:sz w:val="18"/>
        </w:rPr>
        <w:t>policy support -&gt; dollar funding stress down; gold up; USD stable or stronger</w:t>
      </w:r>
    </w:p>
    <w:p>
      <w:pPr>
        <w:pStyle w:val="Heading1"/>
      </w:pPr>
      <w:r>
        <w:t>3. Four chains that should not be collapsed into one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Chain</w:t>
            </w:r>
          </w:p>
        </w:tc>
        <w:tc>
          <w:tcPr>
            <w:tcW w:type="dxa" w:w="5328"/>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Stylized path</w:t>
            </w:r>
          </w:p>
        </w:tc>
        <w:tc>
          <w:tcPr>
            <w:tcW w:type="dxa" w:w="309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Question to answer</w:t>
            </w:r>
          </w:p>
        </w:tc>
      </w:tr>
      <w:tr>
        <w:trPr>
          <w:cantSplit/>
        </w:trPr>
        <w:tc>
          <w:tcPr>
            <w:tcW w:type="dxa" w:w="165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Funding chain</w:t>
            </w:r>
          </w:p>
        </w:tc>
        <w:tc>
          <w:tcPr>
            <w:tcW w:type="dxa" w:w="532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JPY depositor / BOJ liquidity -&gt; Japanese or global bank -&gt; FX dealer -&gt; European asset holder</w:t>
            </w:r>
          </w:p>
        </w:tc>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Who supplies the currency and at what maturity?</w:t>
            </w:r>
          </w:p>
        </w:tc>
      </w:tr>
      <w:tr>
        <w:trPr>
          <w:cantSplit/>
        </w:trPr>
        <w:tc>
          <w:tcPr>
            <w:tcW w:type="dxa" w:w="165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FX-hedging chain</w:t>
            </w:r>
          </w:p>
        </w:tc>
        <w:tc>
          <w:tcPr>
            <w:tcW w:type="dxa" w:w="532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European asset owner sells EUR / buys JPY forward -&gt; dealer -&gt; interdealer FX and cross-currency swap market</w:t>
            </w:r>
          </w:p>
        </w:tc>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Who bears spot, forward, basis, and rollover risk?</w:t>
            </w:r>
          </w:p>
        </w:tc>
      </w:tr>
      <w:tr>
        <w:trPr>
          <w:cantSplit/>
        </w:trPr>
        <w:tc>
          <w:tcPr>
            <w:tcW w:type="dxa" w:w="165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Collateral chain</w:t>
            </w:r>
          </w:p>
        </w:tc>
        <w:tc>
          <w:tcPr>
            <w:tcW w:type="dxa" w:w="532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UST / JGB / Bund -&gt; repo lender -&gt; dealer or CCP -&gt; possible rehypothecation</w:t>
            </w:r>
          </w:p>
        </w:tc>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What collateral, haircut, reuse, and margin support the gross book?</w:t>
            </w:r>
          </w:p>
        </w:tc>
      </w:tr>
      <w:tr>
        <w:trPr>
          <w:cantSplit/>
        </w:trPr>
        <w:tc>
          <w:tcPr>
            <w:tcW w:type="dxa" w:w="165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Loss-absorption chain</w:t>
            </w:r>
          </w:p>
        </w:tc>
        <w:tc>
          <w:tcPr>
            <w:tcW w:type="dxa" w:w="532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Fund equity -&gt; prime broker -&gt; bank capital -&gt; CCP resources -&gt; central-bank liquidity -&gt; fiscal capital</w:t>
            </w:r>
          </w:p>
        </w:tc>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Where does a liquidity problem become a solvency problem?</w:t>
            </w:r>
          </w:p>
        </w:tc>
      </w:tr>
    </w:tbl>
    <w:p>
      <w:pPr>
        <w:pStyle w:val="Heading2"/>
      </w:pPr>
      <w:r>
        <w:t>Core balance-sheet identities</w:t>
      </w:r>
    </w:p>
    <w:p>
      <w:r>
        <w:t>For institution i, separate ordinary assets and liabilities from derivative notional and currency liquidity needs:</w:t>
      </w:r>
    </w:p>
    <w:p>
      <w:pPr>
        <w:spacing w:before="80" w:after="100"/>
        <w:jc w:val="center"/>
      </w:pPr>
      <w:r>
        <w:rPr>
          <w:rFonts w:ascii="Liberation Mono" w:hAnsi="Liberation Mono"/>
          <w:color w:val="17324D"/>
          <w:sz w:val="18"/>
        </w:rPr>
        <w:t>Equity_i = Assets_i - Liabilities_i</w:t>
      </w:r>
    </w:p>
    <w:p>
      <w:pPr>
        <w:spacing w:before="80" w:after="100"/>
        <w:jc w:val="center"/>
      </w:pPr>
      <w:r>
        <w:rPr>
          <w:rFonts w:ascii="Liberation Mono" w:hAnsi="Liberation Mono"/>
          <w:color w:val="17324D"/>
          <w:sz w:val="18"/>
        </w:rPr>
        <w:t>Net open FX_i,c = FX assets_i,c - FX liabilities_i,c + derivative delta_i,c</w:t>
      </w:r>
    </w:p>
    <w:p>
      <w:pPr>
        <w:spacing w:before="80" w:after="100"/>
        <w:jc w:val="center"/>
      </w:pPr>
      <w:r>
        <w:rPr>
          <w:rFonts w:ascii="Liberation Mono" w:hAnsi="Liberation Mono"/>
          <w:color w:val="17324D"/>
          <w:sz w:val="18"/>
        </w:rPr>
        <w:t>Liquidity gap_i,c(H) = liabilities due by H - liquid assets due by H - committed lines</w:t>
      </w:r>
    </w:p>
    <w:p>
      <w:pPr>
        <w:spacing w:before="80" w:after="100"/>
        <w:jc w:val="center"/>
      </w:pPr>
      <w:r>
        <w:rPr>
          <w:rFonts w:ascii="Liberation Mono" w:hAnsi="Liberation Mono"/>
          <w:color w:val="17324D"/>
          <w:sz w:val="18"/>
        </w:rPr>
        <w:t>Available collateral_i = sum[(1 - haircut_k) * price_k * quantity_i,k] - encumbered collateral</w:t>
      </w:r>
    </w:p>
    <w:p>
      <w:r>
        <w:t>A book can be economically hedged at final maturity and still fail because the asset, hedge, funding, and margin legs mature in different windows or sit in different legal entities. That is the likely place to look if the gross yield spread seems too small to explain the violence of the unwind.</w:t>
      </w:r>
    </w:p>
    <w:p>
      <w:pPr>
        <w:pStyle w:val="Heading1"/>
      </w:pPr>
      <w:r>
        <w:t>4. The JPY-to-EUR carry economics</w:t>
      </w:r>
    </w:p>
    <w:p>
      <w:pPr>
        <w:pStyle w:val="Heading2"/>
      </w:pPr>
      <w:r>
        <w:t>4.1 The transcript diagnostic</w:t>
      </w:r>
    </w:p>
    <w:p>
      <w:r>
        <w:t>The raw calculation is algebraically straightforward:</w:t>
      </w:r>
    </w:p>
    <w:p>
      <w:pPr>
        <w:spacing w:before="80" w:after="100"/>
        <w:jc w:val="center"/>
      </w:pPr>
      <w:r>
        <w:rPr>
          <w:rFonts w:ascii="Liberation Mono" w:hAnsi="Liberation Mono"/>
          <w:color w:val="17324D"/>
          <w:sz w:val="18"/>
        </w:rPr>
        <w:t>(US 10Y - Japan 10Y) - (US 10Y - Germany 10Y) = Germany 10Y - Japan 10Y</w:t>
      </w:r>
    </w:p>
    <w:p>
      <w:r>
        <w:t>If the first spread is roughly 1.8% and the second roughly 1.5%, the residual is about 0.3%. That is a useful cross-market diagnostic. But the U.S. Treasury leg cancels in the identity, and the number is not yet the P&amp;L on a trade.</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F8EBED"/>
            <w:tcMar>
              <w:top w:w="150" w:type="dxa"/>
              <w:start w:w="180" w:type="dxa"/>
              <w:bottom w:w="150" w:type="dxa"/>
              <w:end w:w="180" w:type="dxa"/>
            </w:tcMar>
            <w:tcBorders>
              <w:top w:val="single" w:sz="8" w:color="8E3B46"/>
              <w:left w:val="single" w:sz="8" w:color="8E3B46"/>
              <w:bottom w:val="single" w:sz="8" w:color="8E3B46"/>
              <w:right w:val="single" w:sz="8" w:color="8E3B46"/>
            </w:tcBorders>
          </w:tcPr>
          <w:p>
            <w:pPr>
              <w:spacing w:after="80"/>
            </w:pPr>
            <w:r>
              <w:rPr>
                <w:rFonts w:ascii="Liberation Sans" w:hAnsi="Liberation Sans"/>
                <w:b/>
                <w:color w:val="8E3B46"/>
                <w:sz w:val="21"/>
              </w:rPr>
              <w:t>Important distinction</w:t>
            </w:r>
          </w:p>
          <w:p>
            <w:pPr>
              <w:spacing w:after="0" w:line="254" w:lineRule="auto"/>
            </w:pPr>
            <w:r>
              <w:rPr>
                <w:rFonts w:ascii="Liberation Sans" w:hAnsi="Liberation Sans"/>
                <w:color w:val="444B52"/>
                <w:sz w:val="18"/>
              </w:rPr>
              <w:t>A ten-year German-Japanese sovereign yield differential is not the same object as borrowing three-month yen, buying a Bund or BTP, rolling an FX hedge, financing the bond in repo, and allocating dealer or regulatory capital.</w:t>
            </w:r>
          </w:p>
        </w:tc>
      </w:tr>
    </w:tbl>
    <w:p>
      <w:pPr>
        <w:spacing w:after="0"/>
      </w:pPr>
    </w:p>
    <w:p>
      <w:pPr>
        <w:pStyle w:val="Heading2"/>
      </w:pPr>
      <w:r>
        <w:t>4.2 Unhedged trade</w:t>
      </w:r>
    </w:p>
    <w:p>
      <w:r>
        <w:t>Let S be JPY per EUR. An investor borrows yen, converts to euros, buys a European asset, then converts the proceeds back into yen. The approximate annualized return is:</w:t>
      </w:r>
    </w:p>
    <w:p>
      <w:pPr>
        <w:spacing w:before="80" w:after="100"/>
        <w:jc w:val="center"/>
      </w:pPr>
      <w:r>
        <w:rPr>
          <w:rFonts w:ascii="Liberation Mono" w:hAnsi="Liberation Mono"/>
          <w:color w:val="17324D"/>
          <w:sz w:val="18"/>
        </w:rPr>
        <w:t>c_unhedged ~= European asset return - JPY funding rate + change in log(JPY per EUR) - costs</w:t>
      </w:r>
    </w:p>
    <w:p>
      <w:r>
        <w:t>Because yen appreciation means JPY per EUR falls, it directly hurts the unhedged position.</w:t>
      </w:r>
    </w:p>
    <w:p>
      <w:pPr>
        <w:pStyle w:val="Heading2"/>
      </w:pPr>
      <w:r>
        <w:t>4.3 Fully hedged trade</w:t>
      </w:r>
    </w:p>
    <w:p>
      <w:r>
        <w:t>If the investor sells the future euro proceeds forward for yen, the approximate covered return is:</w:t>
      </w:r>
    </w:p>
    <w:p>
      <w:pPr>
        <w:spacing w:before="80" w:after="100"/>
        <w:jc w:val="center"/>
      </w:pPr>
      <w:r>
        <w:rPr>
          <w:rFonts w:ascii="Liberation Mono" w:hAnsi="Liberation Mono"/>
          <w:color w:val="17324D"/>
          <w:sz w:val="18"/>
        </w:rPr>
        <w:t>c_hedged ~= European asset return - JPY funding + forward premium - costs</w:t>
      </w:r>
    </w:p>
    <w:p>
      <w:r>
        <w:t>Using covered interest parity and defining b_JE as the JPY/EUR cross-currency basis under the sign convention in the code:</w:t>
      </w:r>
    </w:p>
    <w:p>
      <w:pPr>
        <w:spacing w:before="80" w:after="100"/>
        <w:jc w:val="center"/>
      </w:pPr>
      <w:r>
        <w:rPr>
          <w:rFonts w:ascii="Liberation Mono" w:hAnsi="Liberation Mono"/>
          <w:color w:val="17324D"/>
          <w:sz w:val="18"/>
        </w:rPr>
        <w:t>forward premium = JPY rate - EUR rate + b_JE</w:t>
      </w:r>
    </w:p>
    <w:p>
      <w:pPr>
        <w:spacing w:before="80" w:after="100"/>
        <w:jc w:val="center"/>
      </w:pPr>
      <w:r>
        <w:rPr>
          <w:rFonts w:ascii="Liberation Mono" w:hAnsi="Liberation Mono"/>
          <w:color w:val="17324D"/>
          <w:sz w:val="18"/>
        </w:rPr>
        <w:t>c_hedged ~= European asset return - EUR funding rate + b_JE - all-in costs</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E8F2F2"/>
            <w:tcMar>
              <w:top w:w="150" w:type="dxa"/>
              <w:start w:w="180" w:type="dxa"/>
              <w:bottom w:w="150" w:type="dxa"/>
              <w:end w:w="180" w:type="dxa"/>
            </w:tcMar>
            <w:tcBorders>
              <w:top w:val="single" w:sz="8" w:color="2F6F74"/>
              <w:left w:val="single" w:sz="8" w:color="2F6F74"/>
              <w:bottom w:val="single" w:sz="8" w:color="2F6F74"/>
              <w:right w:val="single" w:sz="8" w:color="2F6F74"/>
            </w:tcBorders>
          </w:tcPr>
          <w:p>
            <w:pPr>
              <w:spacing w:after="80"/>
            </w:pPr>
            <w:r>
              <w:rPr>
                <w:rFonts w:ascii="Liberation Sans" w:hAnsi="Liberation Sans"/>
                <w:b/>
                <w:color w:val="2F6F74"/>
                <w:sz w:val="21"/>
              </w:rPr>
              <w:t>The decisive implication</w:t>
            </w:r>
          </w:p>
          <w:p>
            <w:pPr>
              <w:spacing w:after="0" w:line="254" w:lineRule="auto"/>
            </w:pPr>
            <w:r>
              <w:rPr>
                <w:rFonts w:ascii="Liberation Sans" w:hAnsi="Liberation Sans"/>
                <w:color w:val="444B52"/>
                <w:sz w:val="18"/>
              </w:rPr>
              <w:t>Under full hedging, matched tenors, and covered interest parity, the apparent advantage of cheap yen cash funding is largely offset by forward points. The model therefore needs partial hedging, adverse basis, hedge-roll mismatch, dealer scarcity, collateral pressure, or losses on the European asset itself.</w:t>
            </w:r>
          </w:p>
        </w:tc>
      </w:tr>
    </w:tbl>
    <w:p>
      <w:pPr>
        <w:spacing w:after="0"/>
      </w:pPr>
    </w:p>
    <w:p>
      <w:pPr>
        <w:pStyle w:val="Heading2"/>
      </w:pPr>
      <w:r>
        <w:t>4.4 Partially hedged trade</w:t>
      </w:r>
    </w:p>
    <w:p>
      <w:r>
        <w:t>Let eta be the fraction hedged. Then the return mixes the forward and future spot outcomes:</w:t>
      </w:r>
    </w:p>
    <w:p>
      <w:pPr>
        <w:spacing w:before="80" w:after="100"/>
        <w:jc w:val="center"/>
      </w:pPr>
      <w:r>
        <w:rPr>
          <w:rFonts w:ascii="Liberation Mono" w:hAnsi="Liberation Mono"/>
          <w:color w:val="17324D"/>
          <w:sz w:val="18"/>
        </w:rPr>
        <w:t>c_eta = asset return - JPY funding + eta * forward premium + (1 - eta) * spot FX change - costs</w:t>
      </w:r>
    </w:p>
    <w:p>
      <w:r>
        <w:t>This makes the hedge ratio and hedge tenor first-class empirical inputs. Without them, it is impossible to know whether a move from EUR/JPY 186 to 180 is a direct P&amp;L shock, a basis/rollover shock, or largely irrelevant to the final hedged return.</w:t>
      </w:r>
    </w:p>
    <w:p>
      <w:pPr>
        <w:pStyle w:val="Heading1"/>
      </w:pPr>
      <w:r>
        <w:t>5. Why a thin carry can still be systemically large</w:t>
      </w:r>
    </w:p>
    <w:p>
      <w:r>
        <w:t>A 30 bp all-in expected return looks trivial until it is levered. At 20 times assets-to-equity leverage:</w:t>
      </w:r>
    </w:p>
    <w:p>
      <w:pPr>
        <w:spacing w:before="80" w:after="100"/>
        <w:jc w:val="center"/>
      </w:pPr>
      <w:r>
        <w:rPr>
          <w:rFonts w:ascii="Liberation Mono" w:hAnsi="Liberation Mono"/>
          <w:color w:val="17324D"/>
          <w:sz w:val="18"/>
        </w:rPr>
        <w:t>20 x 0.30% = 6% gross expected return on equity</w:t>
      </w:r>
    </w:p>
    <w:p>
      <w:r>
        <w:t>But a 50 bp adverse mark-to-market move produces approximately:</w:t>
      </w:r>
    </w:p>
    <w:p>
      <w:pPr>
        <w:spacing w:before="80" w:after="100"/>
        <w:jc w:val="center"/>
      </w:pPr>
      <w:r>
        <w:rPr>
          <w:rFonts w:ascii="Liberation Mono" w:hAnsi="Liberation Mono"/>
          <w:color w:val="17324D"/>
          <w:sz w:val="18"/>
        </w:rPr>
        <w:t>20 x (-0.50%) = -10% of equity</w:t>
      </w:r>
    </w:p>
    <w:p>
      <w:r>
        <w:t>Position demand can be represented as expected carry divided by a combination of P&amp;L variance and the shadow cost of balance-sheet capital:</w:t>
      </w:r>
    </w:p>
    <w:p>
      <w:pPr>
        <w:spacing w:before="80" w:after="100"/>
        <w:jc w:val="center"/>
      </w:pPr>
      <w:r>
        <w:rPr>
          <w:rFonts w:ascii="Liberation Mono" w:hAnsi="Liberation Mono"/>
          <w:color w:val="17324D"/>
          <w:sz w:val="18"/>
        </w:rPr>
        <w:t>position* = expected carry / (risk aversion * variance + capital shadow cost)</w:t>
      </w:r>
    </w:p>
    <w:p>
      <w:r>
        <w:t>A BOJ shock can lower expected carry, raise volatility, and raise the cost of capital simultaneously. The resulting position reduction can therefore be far larger than the yield move itself.</w:t>
      </w:r>
    </w:p>
    <w:p>
      <w:pPr>
        <w:pStyle w:val="Heading2"/>
      </w:pPr>
      <w:r>
        <w:t>Collateral reuse illustration</w:t>
      </w:r>
    </w:p>
    <w:p>
      <w:r>
        <w:t>If unique collateral C is reused through a chain with haircut h, an upper-bound geometric multiplier is:</w:t>
      </w:r>
    </w:p>
    <w:p>
      <w:pPr>
        <w:spacing w:before="80" w:after="100"/>
        <w:jc w:val="center"/>
      </w:pPr>
      <w:r>
        <w:rPr>
          <w:rFonts w:ascii="Liberation Mono" w:hAnsi="Liberation Mono"/>
          <w:color w:val="17324D"/>
          <w:sz w:val="18"/>
        </w:rPr>
        <w:t>gross collateral-supported claims ~= C / h</w:t>
      </w:r>
    </w:p>
    <w:p>
      <w:r>
        <w:t>At C = $40 billion and h = 10%, the mechanical upper bound is $400 billion. This makes the transcript intuition intelligible, but it is not evidence that the actual chain has a 10% haircut, unlimited reuse, or $400 billion of directional exposure. Those inputs have to be measured.</w:t>
      </w:r>
    </w:p>
    <w:p>
      <w:pPr>
        <w:pStyle w:val="Heading1"/>
      </w:pPr>
      <w:r>
        <w:t>6. Policy operations: name the instrument before reading the market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Operation</w:t>
            </w:r>
          </w:p>
        </w:tc>
        <w:tc>
          <w:tcPr>
            <w:tcW w:type="dxa" w:w="360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Balance-sheet or market action</w:t>
            </w:r>
          </w:p>
        </w:tc>
        <w:tc>
          <w:tcPr>
            <w:tcW w:type="dxa" w:w="468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What it should move</w:t>
            </w:r>
          </w:p>
        </w:tc>
      </w:tr>
      <w:tr>
        <w:trPr>
          <w:cantSplit/>
        </w:trPr>
        <w:tc>
          <w:tcPr>
            <w:tcW w:type="dxa" w:w="18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BOJ rate hike</w:t>
            </w:r>
          </w:p>
        </w:tc>
        <w:tc>
          <w:tcPr>
            <w:tcW w:type="dxa" w:w="36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JPY policy rate / curve</w:t>
            </w:r>
          </w:p>
        </w:tc>
        <w:tc>
          <w:tcPr>
            <w:tcW w:type="dxa" w:w="46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Changes cash rates, forward points, expected FX, JGB marks, and hedge economics.</w:t>
            </w:r>
          </w:p>
        </w:tc>
      </w:tr>
      <w:tr>
        <w:trPr>
          <w:cantSplit/>
        </w:trPr>
        <w:tc>
          <w:tcPr>
            <w:tcW w:type="dxa" w:w="18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Spot FX intervention</w:t>
            </w:r>
          </w:p>
        </w:tc>
        <w:tc>
          <w:tcPr>
            <w:tcW w:type="dxa" w:w="36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Official institution buys JPY and sells USD or another reserve asset</w:t>
            </w:r>
          </w:p>
        </w:tc>
        <w:tc>
          <w:tcPr>
            <w:tcW w:type="dxa" w:w="46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Direct spot-market effect; sterilization determines monetary-liability effect.</w:t>
            </w:r>
          </w:p>
        </w:tc>
      </w:tr>
      <w:tr>
        <w:trPr>
          <w:cantSplit/>
        </w:trPr>
        <w:tc>
          <w:tcPr>
            <w:tcW w:type="dxa" w:w="18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Fed dollar-liquidity swap</w:t>
            </w:r>
          </w:p>
        </w:tc>
        <w:tc>
          <w:tcPr>
            <w:tcW w:type="dxa" w:w="36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Fed supplies USD to a foreign central bank against its currency</w:t>
            </w:r>
          </w:p>
        </w:tc>
        <w:tc>
          <w:tcPr>
            <w:tcW w:type="dxa" w:w="46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Relieves dollar funding stress; it is not, by accounting identity, the Fed buying yen.</w:t>
            </w:r>
          </w:p>
        </w:tc>
      </w:tr>
      <w:tr>
        <w:trPr>
          <w:cantSplit/>
        </w:trPr>
        <w:tc>
          <w:tcPr>
            <w:tcW w:type="dxa" w:w="18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Repo / collateral facility</w:t>
            </w:r>
          </w:p>
        </w:tc>
        <w:tc>
          <w:tcPr>
            <w:tcW w:type="dxa" w:w="36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Cash lent against securities</w:t>
            </w:r>
          </w:p>
        </w:tc>
        <w:tc>
          <w:tcPr>
            <w:tcW w:type="dxa" w:w="46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Targets funding, haircuts, settlement, or market functioning.</w:t>
            </w:r>
          </w:p>
        </w:tc>
      </w:tr>
      <w:tr>
        <w:trPr>
          <w:cantSplit/>
        </w:trPr>
        <w:tc>
          <w:tcPr>
            <w:tcW w:type="dxa" w:w="18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ECB / TPI support</w:t>
            </w:r>
          </w:p>
        </w:tc>
        <w:tc>
          <w:tcPr>
            <w:tcW w:type="dxa" w:w="36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Eurosystem buys or backstops eligible sovereign assets</w:t>
            </w:r>
          </w:p>
        </w:tc>
        <w:tc>
          <w:tcPr>
            <w:tcW w:type="dxa" w:w="46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Can suppress visible fragmentation while private demand or balance-sheet quality deteriorates.</w:t>
            </w:r>
          </w:p>
        </w:tc>
      </w:tr>
      <w:tr>
        <w:trPr>
          <w:cantSplit/>
        </w:trPr>
        <w:tc>
          <w:tcPr>
            <w:tcW w:type="dxa" w:w="18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Verbal intervention</w:t>
            </w:r>
          </w:p>
        </w:tc>
        <w:tc>
          <w:tcPr>
            <w:tcW w:type="dxa" w:w="36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Forward guidance / public commitment</w:t>
            </w:r>
          </w:p>
        </w:tc>
        <w:tc>
          <w:tcPr>
            <w:tcW w:type="dxa" w:w="46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May change positioning without a contemporaneous balance-sheet entry.</w:t>
            </w:r>
          </w:p>
        </w:tc>
      </w:tr>
    </w:tbl>
    <w:p>
      <w:r>
        <w:t>The code deliberately leaves a blank event row for the exact U.S.-Japan operation discussed in the reports. That row should not be filled with a generic “swap line” label until the executing institution, instrument, amount, currencies, and dates are identified.</w:t>
      </w:r>
    </w:p>
    <w:p>
      <w:pPr>
        <w:pStyle w:val="Heading1"/>
      </w:pPr>
      <w:r>
        <w:t>7. Gold as collateral: market price, accounting value, and money creation</w:t>
      </w:r>
    </w:p>
    <w:p>
      <w:r>
        <w:t>The strongest conceptual contribution in the model is the inversion of the usual gold story: gold can rise because the system is repairing the quality of its collateral, not only because the dollar is failing.</w:t>
      </w:r>
    </w:p>
    <w:p>
      <w:pPr>
        <w:spacing w:before="80" w:after="100"/>
        <w:jc w:val="center"/>
      </w:pPr>
      <w:r>
        <w:rPr>
          <w:rFonts w:ascii="Liberation Mono" w:hAnsi="Liberation Mono"/>
          <w:color w:val="17324D"/>
          <w:sz w:val="18"/>
        </w:rPr>
        <w:t>collateral capacity = quantity of collateral x recognized collateral price x acceptable advance rate</w:t>
      </w:r>
    </w:p>
    <w:p>
      <w:r>
        <w:t>The accounting path matters, however. U.S. official gold is a Treasury asset. The Federal Reserve holds gold certificates at a statutory value. A market-price increase does not automatically create Fed capital, reserves, or fiscal cash.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Case</w:t>
            </w:r>
          </w:p>
        </w:tc>
        <w:tc>
          <w:tcPr>
            <w:tcW w:type="dxa" w:w="381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Mechanism</w:t>
            </w:r>
          </w:p>
        </w:tc>
        <w:tc>
          <w:tcPr>
            <w:tcW w:type="dxa" w:w="432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Economic implication</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A. Market appreciation only</w:t>
            </w:r>
          </w:p>
        </w:tc>
        <w:tc>
          <w:tcPr>
            <w:tcW w:type="dxa" w:w="381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Gold market price rises; statutory book value unchanged.</w:t>
            </w:r>
          </w:p>
        </w:tc>
        <w:tc>
          <w:tcPr>
            <w:tcW w:type="dxa" w:w="43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Perceived sovereign collateral improves, but no automatic reserve creation or spendable balance.</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B. Accounting revaluation</w:t>
            </w:r>
          </w:p>
        </w:tc>
        <w:tc>
          <w:tcPr>
            <w:tcW w:type="dxa" w:w="381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Treasury recognizes a revaluation surplus or issues additional certificates.</w:t>
            </w:r>
          </w:p>
        </w:tc>
        <w:tc>
          <w:tcPr>
            <w:tcW w:type="dxa" w:w="43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7"/>
              </w:rPr>
              <w:t>Official net worth changes; monetary liabilities need not rise unless the surplus is transferred or spent.</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C. Monetized revaluation</w:t>
            </w:r>
          </w:p>
        </w:tc>
        <w:tc>
          <w:tcPr>
            <w:tcW w:type="dxa" w:w="381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Fed credits Treasury against revalued certificates; Treasury spends.</w:t>
            </w:r>
          </w:p>
        </w:tc>
        <w:tc>
          <w:tcPr>
            <w:tcW w:type="dxa" w:w="43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7"/>
              </w:rPr>
              <w:t>TGA converts into bank reserves. Not conventional QE, but monetary-base creation occurs.</w:t>
            </w:r>
          </w:p>
        </w:tc>
      </w:tr>
    </w:tbl>
    <w:tbl>
      <w:tblPr>
        <w:tblW w:type="auto" w:w="0"/>
        <w:jc w:val="center"/>
        <w:tblLayout w:type="fixed"/>
        <w:tblLook w:firstColumn="1" w:firstRow="1" w:lastColumn="0" w:lastRow="0" w:noHBand="0" w:noVBand="1" w:val="04A0"/>
      </w:tblPr>
      <w:tblGrid>
        <w:gridCol w:w="10166"/>
      </w:tblGrid>
      <w:tr>
        <w:trPr>
          <w:cantSplit/>
          <w:tblHeader/>
        </w:trPr>
        <w:tc>
          <w:tcPr>
            <w:tcW w:type="dxa" w:w="10166"/>
            <w:shd w:fill="FAF2DF"/>
            <w:tcMar>
              <w:top w:w="150" w:type="dxa"/>
              <w:start w:w="180" w:type="dxa"/>
              <w:bottom w:w="150" w:type="dxa"/>
              <w:end w:w="180" w:type="dxa"/>
            </w:tcMar>
            <w:tcBorders>
              <w:top w:val="single" w:sz="8" w:color="B8842B"/>
              <w:left w:val="single" w:sz="8" w:color="B8842B"/>
              <w:bottom w:val="single" w:sz="8" w:color="B8842B"/>
              <w:right w:val="single" w:sz="8" w:color="B8842B"/>
            </w:tcBorders>
          </w:tcPr>
          <w:p>
            <w:pPr>
              <w:spacing w:after="80"/>
            </w:pPr>
            <w:r>
              <w:rPr>
                <w:rFonts w:ascii="Liberation Sans" w:hAnsi="Liberation Sans"/>
                <w:b/>
                <w:color w:val="B8842B"/>
                <w:sz w:val="21"/>
              </w:rPr>
              <w:t>Likely synthesis with Lepard</w:t>
            </w:r>
          </w:p>
          <w:p>
            <w:pPr>
              <w:spacing w:after="0" w:line="254" w:lineRule="auto"/>
            </w:pPr>
            <w:r>
              <w:rPr>
                <w:rFonts w:ascii="Liberation Sans" w:hAnsi="Liberation Sans"/>
                <w:color w:val="444B52"/>
                <w:sz w:val="18"/>
              </w:rPr>
              <w:t>The realistic outcome may be both collateral revaluation and some monetary expansion. The empirical job is to determine the mix rather than force the result into “printing” or “no printing.”</w:t>
            </w:r>
          </w:p>
        </w:tc>
      </w:tr>
    </w:tbl>
    <w:p>
      <w:pPr>
        <w:spacing w:after="0"/>
      </w:pPr>
    </w:p>
    <w:p>
      <w:pPr>
        <w:pStyle w:val="Heading1"/>
      </w:pPr>
      <w:r>
        <w:t>8. Observable sequence and empirical design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Phase</w:t>
            </w:r>
          </w:p>
        </w:tc>
        <w:tc>
          <w:tcPr>
            <w:tcW w:type="dxa" w:w="540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Work</w:t>
            </w:r>
          </w:p>
        </w:tc>
        <w:tc>
          <w:tcPr>
            <w:tcW w:type="dxa" w:w="3168"/>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Deliverable</w:t>
            </w:r>
          </w:p>
        </w:tc>
      </w:tr>
      <w:tr>
        <w:trPr>
          <w:cantSplit/>
        </w:trPr>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0. Freeze the thesis</w:t>
            </w:r>
          </w:p>
        </w:tc>
        <w:tc>
          <w:tcPr>
            <w:tcW w:type="dxa" w:w="54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Specify trade, hedge, counterparties, policy operation, event dates, expected signs, and failure conditions.</w:t>
            </w:r>
          </w:p>
        </w:tc>
        <w:tc>
          <w:tcPr>
            <w:tcW w:type="dxa" w:w="316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A pre-analysis memo signed or timestamped before results.</w:t>
            </w:r>
          </w:p>
        </w:tc>
      </w:tr>
      <w:tr>
        <w:trPr>
          <w:cantSplit/>
        </w:trPr>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1. Public baseline</w:t>
            </w:r>
          </w:p>
        </w:tc>
        <w:tc>
          <w:tcPr>
            <w:tcW w:type="dxa" w:w="54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FX, sovereign yields, CFTC positioning, MOF flows, TIC holdings, Fed liquidity, gold, dollar, credit proxies.</w:t>
            </w:r>
          </w:p>
        </w:tc>
        <w:tc>
          <w:tcPr>
            <w:tcW w:type="dxa" w:w="316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Reproducible daily/weekly/monthly panel and descriptive event windows.</w:t>
            </w:r>
          </w:p>
        </w:tc>
      </w:tr>
      <w:tr>
        <w:trPr>
          <w:cantSplit/>
        </w:trPr>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2. Executable carry</w:t>
            </w:r>
          </w:p>
        </w:tc>
        <w:tc>
          <w:tcPr>
            <w:tcW w:type="dxa" w:w="54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Add cross-currency basis, matched funding, repo, actual asset total return, hedge ratio/tenor, margins and capital costs.</w:t>
            </w:r>
          </w:p>
        </w:tc>
        <w:tc>
          <w:tcPr>
            <w:tcW w:type="dxa" w:w="316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All-in carry series rather than raw yield spread.</w:t>
            </w:r>
          </w:p>
        </w:tc>
      </w:tr>
      <w:tr>
        <w:trPr>
          <w:cantSplit/>
        </w:trPr>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3. Causal tests</w:t>
            </w:r>
          </w:p>
        </w:tc>
        <w:tc>
          <w:tcPr>
            <w:tcW w:type="dxa" w:w="540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Use BOJ surprises, local projections, mediation, exposure panels, and network measures.</w:t>
            </w:r>
          </w:p>
        </w:tc>
        <w:tc>
          <w:tcPr>
            <w:tcW w:type="dxa" w:w="316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Does BOJ shock move carry, then positions, then Europe, then flows?</w:t>
            </w:r>
          </w:p>
        </w:tc>
      </w:tr>
      <w:tr>
        <w:trPr>
          <w:cantSplit/>
        </w:trPr>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4. Regime discrimination</w:t>
            </w:r>
          </w:p>
        </w:tc>
        <w:tc>
          <w:tcPr>
            <w:tcW w:type="dxa" w:w="540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Compare Luongo repair, Lepard print, and generic risk-off sign patterns.</w:t>
            </w:r>
          </w:p>
        </w:tc>
        <w:tc>
          <w:tcPr>
            <w:tcW w:type="dxa" w:w="316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Joint evidence, not a gold-price endpoint.</w:t>
            </w:r>
          </w:p>
        </w:tc>
      </w:tr>
    </w:tbl>
    <w:p>
      <w:pPr>
        <w:pStyle w:val="Heading2"/>
      </w:pPr>
      <w:r>
        <w:t>8.1 High-frequency first stage</w:t>
      </w:r>
    </w:p>
    <w:p>
      <w:r>
        <w:t>Construct the unexpected component of each BOJ decision from OIS or futures in a narrow announcement window:</w:t>
      </w:r>
    </w:p>
    <w:p>
      <w:pPr>
        <w:spacing w:before="80" w:after="100"/>
        <w:jc w:val="center"/>
      </w:pPr>
      <w:r>
        <w:rPr>
          <w:rFonts w:ascii="Liberation Mono" w:hAnsi="Liberation Mono"/>
          <w:color w:val="17324D"/>
          <w:sz w:val="18"/>
        </w:rPr>
        <w:t>BOJ surprise = change in policy-rate expectations during the announcement window</w:t>
      </w:r>
    </w:p>
    <w:p>
      <w:r>
        <w:t>Then estimate the response of EUR/JPY, basis, reconstructed carry, European sovereign spreads, European bank CDS, dollar funding measures, gold, and the dollar at 30-minute, one-day, five-day, and twenty-day horizons.</w:t>
      </w:r>
    </w:p>
    <w:p>
      <w:pPr>
        <w:pStyle w:val="Heading2"/>
      </w:pPr>
      <w:r>
        <w:t>8.2 Mediation test</w:t>
      </w:r>
    </w:p>
    <w:p>
      <w:r>
        <w:t>The key identification question is not merely whether BOJ shocks move Europe. It is whether they move Europe through the claimed carry channel:</w:t>
      </w:r>
    </w:p>
    <w:p>
      <w:pPr>
        <w:spacing w:before="80" w:after="100"/>
        <w:jc w:val="center"/>
      </w:pPr>
      <w:r>
        <w:rPr>
          <w:rFonts w:ascii="Liberation Mono" w:hAnsi="Liberation Mono"/>
          <w:color w:val="17324D"/>
          <w:sz w:val="18"/>
        </w:rPr>
        <w:t>first stage: effective carry = a + b * BOJ surprise + controls</w:t>
      </w:r>
    </w:p>
    <w:p>
      <w:pPr>
        <w:spacing w:before="80" w:after="100"/>
        <w:jc w:val="center"/>
      </w:pPr>
      <w:r>
        <w:rPr>
          <w:rFonts w:ascii="Liberation Mono" w:hAnsi="Liberation Mono"/>
          <w:color w:val="17324D"/>
          <w:sz w:val="18"/>
        </w:rPr>
        <w:t>second stage: European stress = c + d * predicted effective carry + controls</w:t>
      </w:r>
    </w:p>
    <w:p>
      <w:r>
        <w:t>The thesis requires a meaningful first stage and a directionally correct second stage. If BOJ shocks move Europe without moving all-in carry, the mechanism is probably something else.</w:t>
      </w:r>
    </w:p>
    <w:p>
      <w:pPr>
        <w:pStyle w:val="Heading2"/>
      </w:pPr>
      <w:r>
        <w:t>8.3 Exposure panel</w:t>
      </w:r>
    </w:p>
    <w:p>
      <w:r>
        <w:t>Across banks, funds, or countries, interact BOJ surprises with pre-existing vulnerability: JPY funding, short-term wholesale funding, FX derivatives relative to equity, sovereign holdings, repo dependence, and cross-border balance-sheet size. The most exposed European entities should weaken more than less-exposed European entities and more than comparable U.S. or Japanese entities.</w:t>
      </w:r>
    </w:p>
    <w:p>
      <w:pPr>
        <w:pStyle w:val="Heading1"/>
      </w:pPr>
      <w:r>
        <w:t>9. Competing models and their joint sign patterns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Variable</w:t>
            </w:r>
          </w:p>
        </w:tc>
        <w:tc>
          <w:tcPr>
            <w:tcW w:type="dxa" w:w="273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Luongo controlled unwind</w:t>
            </w:r>
          </w:p>
        </w:tc>
        <w:tc>
          <w:tcPr>
            <w:tcW w:type="dxa" w:w="252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Lepard big print</w:t>
            </w:r>
          </w:p>
        </w:tc>
        <w:tc>
          <w:tcPr>
            <w:tcW w:type="dxa" w:w="288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Generic risk-off</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JPY</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Up</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Ambiguous</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Up</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Effective JPY-&gt;EUR carry</w:t>
            </w:r>
          </w:p>
        </w:tc>
        <w:tc>
          <w:tcPr>
            <w:tcW w:type="dxa" w:w="27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Down</w:t>
            </w:r>
          </w:p>
        </w:tc>
        <w:tc>
          <w:tcPr>
            <w:tcW w:type="dxa" w:w="25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Not central</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Down or ambiguous</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European spreads / bank stress</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Up first</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May rise broadly</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Up</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U.S. Treasury stress</w:t>
            </w:r>
          </w:p>
        </w:tc>
        <w:tc>
          <w:tcPr>
            <w:tcW w:type="dxa" w:w="27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Contained relative to Europe</w:t>
            </w:r>
          </w:p>
        </w:tc>
        <w:tc>
          <w:tcPr>
            <w:tcW w:type="dxa" w:w="25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Eventually severe</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Up</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Dollar funding stress</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Temporary, then eases</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May worsen until printing</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Worsens</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Fed balance sheet</w:t>
            </w:r>
          </w:p>
        </w:tc>
        <w:tc>
          <w:tcPr>
            <w:tcW w:type="dxa" w:w="27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Modest / targeted</w:t>
            </w:r>
          </w:p>
        </w:tc>
        <w:tc>
          <w:tcPr>
            <w:tcW w:type="dxa" w:w="25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Large expansion</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Initially ambiguous</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Broad dollar</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Stable or up</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Ultimately down</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Up</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Gold</w:t>
            </w:r>
          </w:p>
        </w:tc>
        <w:tc>
          <w:tcPr>
            <w:tcW w:type="dxa" w:w="27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Up</w:t>
            </w:r>
          </w:p>
        </w:tc>
        <w:tc>
          <w:tcPr>
            <w:tcW w:type="dxa" w:w="25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Up</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Ambiguous / up</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Credit spreads after support</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Tighten</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May remain wide</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Usually remain wide initially</w:t>
            </w:r>
          </w:p>
        </w:tc>
      </w:tr>
      <w:tr>
        <w:trPr>
          <w:cantSplit/>
        </w:trPr>
        <w:tc>
          <w:tcPr>
            <w:tcW w:type="dxa" w:w="19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Inflation breakevens</w:t>
            </w:r>
          </w:p>
        </w:tc>
        <w:tc>
          <w:tcPr>
            <w:tcW w:type="dxa" w:w="273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Not necessarily sharply higher</w:t>
            </w:r>
          </w:p>
        </w:tc>
        <w:tc>
          <w:tcPr>
            <w:tcW w:type="dxa" w:w="252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Higher</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5"/>
              </w:rPr>
              <w:t>Often lower</w:t>
            </w:r>
          </w:p>
        </w:tc>
      </w:tr>
      <w:tr>
        <w:trPr>
          <w:cantSplit/>
        </w:trPr>
        <w:tc>
          <w:tcPr>
            <w:tcW w:type="dxa" w:w="19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Europe -&gt; U.S./Japan flows</w:t>
            </w:r>
          </w:p>
        </w:tc>
        <w:tc>
          <w:tcPr>
            <w:tcW w:type="dxa" w:w="273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Structural</w:t>
            </w:r>
          </w:p>
        </w:tc>
        <w:tc>
          <w:tcPr>
            <w:tcW w:type="dxa" w:w="252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Not necessary</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5"/>
              </w:rPr>
              <w:t>Possible but temporary</w:t>
            </w:r>
          </w:p>
        </w:tc>
      </w:tr>
    </w:tbl>
    <w:p>
      <w:r>
        <w:t>The diagnostic observation is not “gold rose.” It is the probability of the whole sign vector under each model. In particular, gold rising with a firm dollar and improving funding/credit conditions is much more distinctive than gold rising on falling real yields and an expanding Fed balance sheet.</w:t>
      </w:r>
    </w:p>
    <w:p>
      <w:pPr>
        <w:pStyle w:val="Heading1"/>
      </w:pPr>
      <w:r>
        <w:t>10. Falsification table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Claim</w:t>
            </w:r>
          </w:p>
        </w:tc>
        <w:tc>
          <w:tcPr>
            <w:tcW w:type="dxa" w:w="396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What should appear</w:t>
            </w:r>
          </w:p>
        </w:tc>
        <w:tc>
          <w:tcPr>
            <w:tcW w:type="dxa" w:w="3888"/>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Would materially weaken / falsify</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Raw 30–35 bp spread is meaningful</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The stated sovereign spreads are measured consistently and compress around BOJ normalization.</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Spread is not thin, does not compress, or uses mismatched instruments/dates.</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Raw spread represents tradable carry</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All-in carry approaches zero after forward, basis, repo, hedge, capital, and duration effects.</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Forward/basis offsets the yield move and all-in carry remains comfortably positive.</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BOJ normalization is causal</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Unexpected hawkish BOJ shocks reduce effective carry.</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No economically meaningful first stage.</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Yen appreciation forces exits</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Short-yen and European-risk positioning falls; margins or collateral tighten.</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Relevant positions remain stable or rise and are effectively hedged.</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Europe is first-loss absorber</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European banks / sovereigns weaken more than U.S. and Japan after controls.</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U.S. or Japanese markets consistently absorb more stress.</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London is an economic intermediary</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UK-headquartered/resident balance sheets show relevant exposure and contraction.</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London is only a venue/custodian and ultimate risk resides elsewhere.</w:t>
            </w:r>
          </w:p>
        </w:tc>
      </w:tr>
    </w:tbl>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Claim</w:t>
            </w:r>
          </w:p>
        </w:tc>
        <w:tc>
          <w:tcPr>
            <w:tcW w:type="dxa" w:w="396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What should appear</w:t>
            </w:r>
          </w:p>
        </w:tc>
        <w:tc>
          <w:tcPr>
            <w:tcW w:type="dxa" w:w="3888"/>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Would materially weaken / falsify</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Collateral reuse magnifies the shock</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Haircuts, initial margin, fails, or collateral velocity move adversely.</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No collateral or margin deterioration during the position reduction.</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U.S.-Japan support returns dollars</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Identified support narrows dollar basis and funding spreads before or with the rebound.</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Funding stress remains high or improves only after broad Fed expansion.</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Capital leaves Europe</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Valuation-adjusted outflows from Europe and inflows to U.S./Japan follow within quarters.</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No regional migration or flows run the other way.</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Gold is repair collateral</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Gold rises with USD firm/up and funding/credit stress subsequently easing.</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Gold rises only with weaker USD, lower real yields, expanding Fed assets, and higher breakevens.</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Stablecoins replace eurodollars</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Stablecoin/T-bill rails rise while offshore bank leverage falls relative to total dollar liquidity.</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Stablecoins and offshore leverage expand together.</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Gold revaluation substitutes for QE</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Recognized official collateral rises without equivalent reserve creation.</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Only market price rises, or revaluation is immediately monetized.</w:t>
            </w:r>
          </w:p>
        </w:tc>
      </w:tr>
      <w:tr>
        <w:trPr>
          <w:cantSplit/>
        </w:trPr>
        <w:tc>
          <w:tcPr>
            <w:tcW w:type="dxa" w:w="223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Deliberate strategy exists</w:t>
            </w:r>
          </w:p>
        </w:tc>
        <w:tc>
          <w:tcPr>
            <w:tcW w:type="dxa" w:w="396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Documents, disclosed transactions, and consistent institution-specific sequencing.</w:t>
            </w:r>
          </w:p>
        </w:tc>
        <w:tc>
          <w:tcPr>
            <w:tcW w:type="dxa" w:w="3888"/>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No evidence beyond inferred market outcomes.</w:t>
            </w:r>
          </w:p>
        </w:tc>
      </w:tr>
      <w:tr>
        <w:trPr>
          <w:cantSplit/>
        </w:trPr>
        <w:tc>
          <w:tcPr>
            <w:tcW w:type="dxa" w:w="223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SOFR created a new regime</w:t>
            </w:r>
          </w:p>
        </w:tc>
        <w:tc>
          <w:tcPr>
            <w:tcW w:type="dxa" w:w="396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Formal break tests show stable post-SOFR coefficient changes.</w:t>
            </w:r>
          </w:p>
        </w:tc>
        <w:tc>
          <w:tcPr>
            <w:tcW w:type="dxa" w:w="3888"/>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No statistical break or breaks occur at unrelated dates.</w:t>
            </w:r>
          </w:p>
        </w:tc>
      </w:tr>
    </w:tbl>
    <w:p>
      <w:pPr>
        <w:pStyle w:val="Heading1"/>
      </w:pPr>
      <w:r>
        <w:t>11. The runnable package</w:t>
      </w:r>
    </w:p>
    <w:p>
      <w:r>
        <w:t>The accompanying Python scaffold is intentionally modest. It does not hide the missing premium data behind a composite index. It performs the public baseline, writes every source to a raw cache, logs failures, and marks unavailable causal links as data gaps rather than treating them as zero.</w:t>
      </w:r>
    </w:p>
    <w:p>
      <w:pPr>
        <w:pStyle w:val="Heading2"/>
      </w:pPr>
      <w:r>
        <w:t>Offline parser check</w:t>
      </w:r>
    </w:p>
    <w:p>
      <w:pPr>
        <w:spacing w:before="80" w:after="100"/>
        <w:jc w:val="center"/>
      </w:pPr>
      <w:r>
        <w:rPr>
          <w:rFonts w:ascii="Liberation Mono" w:hAnsi="Liberation Mono"/>
          <w:color w:val="17324D"/>
          <w:sz w:val="18"/>
        </w:rPr>
        <w:t>python 03_luongo_model_test.py --offline-snapshots --output outputs/offline</w:t>
      </w:r>
    </w:p>
    <w:p>
      <w:pPr>
        <w:pStyle w:val="Heading2"/>
      </w:pPr>
      <w:r>
        <w:t>Live public baseline</w:t>
      </w:r>
    </w:p>
    <w:p>
      <w:pPr>
        <w:spacing w:before="80" w:after="100"/>
        <w:jc w:val="center"/>
      </w:pPr>
      <w:r>
        <w:rPr>
          <w:rFonts w:ascii="Liberation Mono" w:hAnsi="Liberation Mono"/>
          <w:color w:val="17324D"/>
          <w:sz w:val="18"/>
        </w:rPr>
        <w:t>python 03_luongo_model_test.py --start 2006-01-01 --events 05_events_template.csv --output outputs/public</w:t>
      </w:r>
    </w:p>
    <w:p>
      <w:pPr>
        <w:pStyle w:val="Heading2"/>
      </w:pPr>
      <w:r>
        <w:t>Full test with vendor / dealer data</w:t>
      </w:r>
    </w:p>
    <w:p>
      <w:pPr>
        <w:spacing w:before="80" w:after="100"/>
        <w:jc w:val="center"/>
      </w:pPr>
      <w:r>
        <w:rPr>
          <w:rFonts w:ascii="Liberation Mono" w:hAnsi="Liberation Mono"/>
          <w:color w:val="17324D"/>
          <w:sz w:val="18"/>
        </w:rPr>
        <w:t>python 03_luongo_model_test.py --events 05_events_template.csv --optional-market-data data/optional_market_data.csv --output outputs/full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Source</w:t>
            </w:r>
          </w:p>
        </w:tc>
        <w:tc>
          <w:tcPr>
            <w:tcW w:type="dxa" w:w="5544"/>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Used for</w:t>
            </w:r>
          </w:p>
        </w:tc>
        <w:tc>
          <w:tcPr>
            <w:tcW w:type="dxa" w:w="2880"/>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Caveat</w:t>
            </w:r>
          </w:p>
        </w:tc>
      </w:tr>
      <w:tr>
        <w:trPr>
          <w:cantSplit/>
        </w:trPr>
        <w:tc>
          <w:tcPr>
            <w:tcW w:type="dxa" w:w="165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FRED</w:t>
            </w:r>
          </w:p>
        </w:tc>
        <w:tc>
          <w:tcPr>
            <w:tcW w:type="dxa" w:w="55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FX, sovereign yields, gold, dollar, Fed balance sheet, swaps, real yields, credit and volatility proxies</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Keyless graph CSV under normal access</w:t>
            </w:r>
          </w:p>
        </w:tc>
      </w:tr>
      <w:tr>
        <w:trPr>
          <w:cantSplit/>
        </w:trPr>
        <w:tc>
          <w:tcPr>
            <w:tcW w:type="dxa" w:w="165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CFTC TFF</w:t>
            </w:r>
          </w:p>
        </w:tc>
        <w:tc>
          <w:tcPr>
            <w:tcW w:type="dxa" w:w="55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Leveraged-fund, dealer, and asset-manager JPY futures positions</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Exchange-traded proxy; not the OTC book</w:t>
            </w:r>
          </w:p>
        </w:tc>
      </w:tr>
      <w:tr>
        <w:trPr>
          <w:cantSplit/>
        </w:trPr>
        <w:tc>
          <w:tcPr>
            <w:tcW w:type="dxa" w:w="165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Japan MOF</w:t>
            </w:r>
          </w:p>
        </w:tc>
        <w:tc>
          <w:tcPr>
            <w:tcW w:type="dxa" w:w="55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Weekly resident foreign-security and nonresident Japanese-security flows</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Aggregate; destination and hedge not fully identified</w:t>
            </w:r>
          </w:p>
        </w:tc>
      </w:tr>
      <w:tr>
        <w:trPr>
          <w:cantSplit/>
        </w:trPr>
        <w:tc>
          <w:tcPr>
            <w:tcW w:type="dxa" w:w="165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Treasury TIC</w:t>
            </w:r>
          </w:p>
        </w:tc>
        <w:tc>
          <w:tcPr>
            <w:tcW w:type="dxa" w:w="55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Treasury holdings and net transactions by residence</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Custody/residence does not equal ultimate beneficial owner</w:t>
            </w:r>
          </w:p>
        </w:tc>
      </w:tr>
      <w:tr>
        <w:trPr>
          <w:cantSplit/>
        </w:trPr>
        <w:tc>
          <w:tcPr>
            <w:tcW w:type="dxa" w:w="165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Optional vendor data</w:t>
            </w:r>
          </w:p>
        </w:tc>
        <w:tc>
          <w:tcPr>
            <w:tcW w:type="dxa" w:w="5544"/>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EUR/JPY basis, bank CDS, repo/haircuts, executable asset return and funding costs</w:t>
            </w:r>
          </w:p>
        </w:tc>
        <w:tc>
          <w:tcPr>
            <w:tcW w:type="dxa" w:w="2880"/>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Decisive for the actual carry test</w:t>
            </w:r>
          </w:p>
        </w:tc>
      </w:tr>
      <w:tr>
        <w:trPr>
          <w:cantSplit/>
        </w:trPr>
        <w:tc>
          <w:tcPr>
            <w:tcW w:type="dxa" w:w="165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BIS / ECB adapters</w:t>
            </w:r>
          </w:p>
        </w:tc>
        <w:tc>
          <w:tcPr>
            <w:tcW w:type="dxa" w:w="5544"/>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Cross-border banking, global liquidity, central-bank holdings and policy data</w:t>
            </w:r>
          </w:p>
        </w:tc>
        <w:tc>
          <w:tcPr>
            <w:tcW w:type="dxa" w:w="2880"/>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Recommended extension for the network model</w:t>
            </w:r>
          </w:p>
        </w:tc>
      </w:tr>
    </w:tbl>
    <w:p>
      <w:pPr>
        <w:pStyle w:val="Heading2"/>
      </w:pPr>
      <w:r>
        <w:t>What the bundled snapshot already shows</w:t>
      </w:r>
    </w:p>
    <w:p>
      <w:r>
        <w:t>The offline run is a parser proof, not a model result. It currently extracts:</w:t>
      </w:r>
    </w:p>
    <w:p>
      <w:pPr>
        <w:pStyle w:val="ListBullet"/>
        <w:keepNext w:val="0"/>
        <w:keepLines w:val="0"/>
        <w:widowControl w:val="0"/>
        <w:spacing w:after="50" w:line="254" w:lineRule="auto"/>
      </w:pPr>
      <w:r>
        <w:rPr>
          <w:rFonts w:ascii="Liberation Sans" w:hAnsi="Liberation Sans"/>
          <w:sz w:val="19"/>
        </w:rPr>
        <w:t>CFTC, August 4, 2026: leveraged funds were net short 60,825 Japanese-yen futures contracts, equal to about 14.5% of open interest. This is directionally relevant but does not reveal the OTC or institutional carry book.</w:t>
      </w:r>
    </w:p>
    <w:p>
      <w:pPr>
        <w:pStyle w:val="ListBullet"/>
        <w:keepNext w:val="0"/>
        <w:keepLines w:val="0"/>
        <w:widowControl w:val="0"/>
        <w:spacing w:after="50" w:line="254" w:lineRule="auto"/>
      </w:pPr>
      <w:r>
        <w:rPr>
          <w:rFonts w:ascii="Liberation Sans" w:hAnsi="Liberation Sans"/>
          <w:sz w:val="19"/>
        </w:rPr>
        <w:t>Japan MOF, week through August 1, 2026: residents were net buyers of foreign securities by 6,262 x 100 million yen (about ¥626.2 billion), while the long-term debt component was +4,779 x 100 million yen. A single weekly aggregate does not establish repatriation; the event sequence and decomposition matter.</w:t>
      </w:r>
    </w:p>
    <w:p>
      <w:pPr>
        <w:pStyle w:val="ListBullet"/>
        <w:keepNext w:val="0"/>
        <w:keepLines w:val="0"/>
        <w:widowControl w:val="0"/>
        <w:spacing w:after="50" w:line="254" w:lineRule="auto"/>
      </w:pPr>
      <w:r>
        <w:rPr>
          <w:rFonts w:ascii="Liberation Sans" w:hAnsi="Liberation Sans"/>
          <w:sz w:val="19"/>
        </w:rPr>
        <w:t>Treasury TIC, May 2026 snapshot: Japan held about $1.143 trillion of Treasuries by residence; the United Kingdom about $948.6 billion; Cayman about $471.3 billion; Belgium about $472.0 billion; and Luxembourg about $436.0 billion. These values demonstrate scale but not ultimate ownership or political control.</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EAF0F6"/>
            <w:tcMar>
              <w:top w:w="150" w:type="dxa"/>
              <w:start w:w="180" w:type="dxa"/>
              <w:bottom w:w="150" w:type="dxa"/>
              <w:end w:w="180" w:type="dxa"/>
            </w:tcMar>
            <w:tcBorders>
              <w:top w:val="single" w:sz="8" w:color="17324D"/>
              <w:left w:val="single" w:sz="8" w:color="17324D"/>
              <w:bottom w:val="single" w:sz="8" w:color="17324D"/>
              <w:right w:val="single" w:sz="8" w:color="17324D"/>
            </w:tcBorders>
          </w:tcPr>
          <w:p>
            <w:pPr>
              <w:spacing w:after="80"/>
            </w:pPr>
            <w:r>
              <w:rPr>
                <w:rFonts w:ascii="Liberation Sans" w:hAnsi="Liberation Sans"/>
                <w:b/>
                <w:color w:val="17324D"/>
                <w:sz w:val="21"/>
              </w:rPr>
              <w:t>Why this is useful immediately</w:t>
            </w:r>
          </w:p>
          <w:p>
            <w:pPr>
              <w:spacing w:after="0" w:line="254" w:lineRule="auto"/>
            </w:pPr>
            <w:r>
              <w:rPr>
                <w:rFonts w:ascii="Liberation Sans" w:hAnsi="Liberation Sans"/>
                <w:color w:val="444B52"/>
                <w:sz w:val="18"/>
              </w:rPr>
              <w:t>The first live result may support some pieces and contradict others. That is a feature. For example, a visible leveraged-fund yen short can coexist with Japanese residents still buying foreign bonds. The model should explain the composition and timing rather than force both aggregates into one story.</w:t>
            </w:r>
          </w:p>
        </w:tc>
      </w:tr>
    </w:tbl>
    <w:p>
      <w:pPr>
        <w:spacing w:after="0"/>
      </w:pPr>
    </w:p>
    <w:p>
      <w:pPr>
        <w:pStyle w:val="Heading1"/>
      </w:pPr>
      <w:r>
        <w:t>12. Recommended review sequence with Tom</w:t>
      </w:r>
    </w:p>
    <w:p>
      <w:pPr>
        <w:spacing w:after="60" w:line="254" w:lineRule="auto"/>
        <w:ind w:left="346" w:hanging="346"/>
      </w:pPr>
      <w:r>
        <w:rPr>
          <w:rFonts w:ascii="Liberation Sans" w:hAnsi="Liberation Sans"/>
          <w:color w:val="444B52"/>
          <w:sz w:val="19"/>
        </w:rPr>
        <w:t xml:space="preserve">1.  </w:t>
      </w:r>
      <w:r>
        <w:rPr>
          <w:rFonts w:ascii="Liberation Sans" w:hAnsi="Liberation Sans"/>
          <w:sz w:val="19"/>
        </w:rPr>
        <w:t>Confirm or rewrite the representative trade in one paragraph and one balance sheet.</w:t>
      </w:r>
    </w:p>
    <w:p>
      <w:pPr>
        <w:spacing w:after="60" w:line="254" w:lineRule="auto"/>
        <w:ind w:left="346" w:hanging="346"/>
      </w:pPr>
      <w:r>
        <w:rPr>
          <w:rFonts w:ascii="Liberation Sans" w:hAnsi="Liberation Sans"/>
          <w:color w:val="444B52"/>
          <w:sz w:val="19"/>
        </w:rPr>
        <w:t xml:space="preserve">2.  </w:t>
      </w:r>
      <w:r>
        <w:rPr>
          <w:rFonts w:ascii="Liberation Sans" w:hAnsi="Liberation Sans"/>
          <w:sz w:val="19"/>
        </w:rPr>
        <w:t>Choose the hedge ratio, hedge tenor, collateral, and likely counterparties.</w:t>
      </w:r>
    </w:p>
    <w:p>
      <w:pPr>
        <w:spacing w:after="60" w:line="254" w:lineRule="auto"/>
        <w:ind w:left="346" w:hanging="346"/>
      </w:pPr>
      <w:r>
        <w:rPr>
          <w:rFonts w:ascii="Liberation Sans" w:hAnsi="Liberation Sans"/>
          <w:color w:val="444B52"/>
          <w:sz w:val="19"/>
        </w:rPr>
        <w:t xml:space="preserve">3.  </w:t>
      </w:r>
      <w:r>
        <w:rPr>
          <w:rFonts w:ascii="Liberation Sans" w:hAnsi="Liberation Sans"/>
          <w:sz w:val="19"/>
        </w:rPr>
        <w:t>Identify the exact policy operations and freeze the event dates.</w:t>
      </w:r>
    </w:p>
    <w:p>
      <w:pPr>
        <w:spacing w:after="60" w:line="254" w:lineRule="auto"/>
        <w:ind w:left="346" w:hanging="346"/>
      </w:pPr>
      <w:r>
        <w:rPr>
          <w:rFonts w:ascii="Liberation Sans" w:hAnsi="Liberation Sans"/>
          <w:color w:val="444B52"/>
          <w:sz w:val="19"/>
        </w:rPr>
        <w:t xml:space="preserve">4.  </w:t>
      </w:r>
      <w:r>
        <w:rPr>
          <w:rFonts w:ascii="Liberation Sans" w:hAnsi="Liberation Sans"/>
          <w:sz w:val="19"/>
        </w:rPr>
        <w:t>Run the free public baseline without changing the sign predictions.</w:t>
      </w:r>
    </w:p>
    <w:p>
      <w:pPr>
        <w:spacing w:after="60" w:line="254" w:lineRule="auto"/>
        <w:ind w:left="346" w:hanging="346"/>
      </w:pPr>
      <w:r>
        <w:rPr>
          <w:rFonts w:ascii="Liberation Sans" w:hAnsi="Liberation Sans"/>
          <w:color w:val="444B52"/>
          <w:sz w:val="19"/>
        </w:rPr>
        <w:t xml:space="preserve">5.  </w:t>
      </w:r>
      <w:r>
        <w:rPr>
          <w:rFonts w:ascii="Liberation Sans" w:hAnsi="Liberation Sans"/>
          <w:sz w:val="19"/>
        </w:rPr>
        <w:t>Add cross-currency basis, repo, CDS, and actual return/funding data.</w:t>
      </w:r>
    </w:p>
    <w:p>
      <w:pPr>
        <w:spacing w:after="60" w:line="254" w:lineRule="auto"/>
        <w:ind w:left="346" w:hanging="346"/>
      </w:pPr>
      <w:r>
        <w:rPr>
          <w:rFonts w:ascii="Liberation Sans" w:hAnsi="Liberation Sans"/>
          <w:color w:val="444B52"/>
          <w:sz w:val="19"/>
        </w:rPr>
        <w:t xml:space="preserve">6.  </w:t>
      </w:r>
      <w:r>
        <w:rPr>
          <w:rFonts w:ascii="Liberation Sans" w:hAnsi="Liberation Sans"/>
          <w:sz w:val="19"/>
        </w:rPr>
        <w:t>Review the strongest disconfirming result before the strongest confirming result.</w:t>
      </w:r>
    </w:p>
    <w:p>
      <w:pPr>
        <w:spacing w:after="60" w:line="254" w:lineRule="auto"/>
        <w:ind w:left="346" w:hanging="346"/>
      </w:pPr>
      <w:r>
        <w:rPr>
          <w:rFonts w:ascii="Liberation Sans" w:hAnsi="Liberation Sans"/>
          <w:color w:val="444B52"/>
          <w:sz w:val="19"/>
        </w:rPr>
        <w:t xml:space="preserve">7.  </w:t>
      </w:r>
      <w:r>
        <w:rPr>
          <w:rFonts w:ascii="Liberation Sans" w:hAnsi="Liberation Sans"/>
          <w:sz w:val="19"/>
        </w:rPr>
        <w:t>Revise the model only where a failed link requires revision; do not discard surviving layers merely because the intent claim remains unproven.</w:t>
      </w:r>
    </w:p>
    <w:tbl>
      <w:tblPr>
        <w:tblW w:type="auto" w:w="0"/>
        <w:jc w:val="center"/>
        <w:tblLayout w:type="fixed"/>
        <w:tblLook w:firstColumn="1" w:firstRow="1" w:lastColumn="0" w:lastRow="0" w:noHBand="0" w:noVBand="1" w:val="04A0"/>
      </w:tblPr>
      <w:tblGrid>
        <w:gridCol w:w="10166"/>
      </w:tblGrid>
      <w:tr>
        <w:trPr>
          <w:cantSplit/>
          <w:tblHeader/>
        </w:trPr>
        <w:tc>
          <w:tcPr>
            <w:tcW w:type="dxa" w:w="10166"/>
            <w:shd w:fill="E8F2F2"/>
            <w:tcMar>
              <w:top w:w="150" w:type="dxa"/>
              <w:start w:w="180" w:type="dxa"/>
              <w:bottom w:w="150" w:type="dxa"/>
              <w:end w:w="180" w:type="dxa"/>
            </w:tcMar>
            <w:tcBorders>
              <w:top w:val="single" w:sz="8" w:color="2F6F74"/>
              <w:left w:val="single" w:sz="8" w:color="2F6F74"/>
              <w:bottom w:val="single" w:sz="8" w:color="2F6F74"/>
              <w:right w:val="single" w:sz="8" w:color="2F6F74"/>
            </w:tcBorders>
          </w:tcPr>
          <w:p>
            <w:pPr>
              <w:spacing w:after="80"/>
            </w:pPr>
            <w:r>
              <w:rPr>
                <w:rFonts w:ascii="Liberation Sans" w:hAnsi="Liberation Sans"/>
                <w:b/>
                <w:color w:val="2F6F74"/>
                <w:sz w:val="21"/>
              </w:rPr>
              <w:t>Proposed success criterion</w:t>
            </w:r>
          </w:p>
          <w:p>
            <w:pPr>
              <w:spacing w:after="0" w:line="254" w:lineRule="auto"/>
            </w:pPr>
            <w:r>
              <w:rPr>
                <w:rFonts w:ascii="Liberation Sans" w:hAnsi="Liberation Sans"/>
                <w:color w:val="444B52"/>
                <w:sz w:val="18"/>
              </w:rPr>
              <w:t>A useful first pass is not “the model is proven.” It is a signed causal map showing: confirmed link, supported but not identified, unresolved data gap, weakened link, or rejected link. That is enough to improve the model materially and make future market calls auditable.</w:t>
            </w:r>
          </w:p>
        </w:tc>
      </w:tr>
    </w:tbl>
    <w:p>
      <w:pPr>
        <w:spacing w:after="0"/>
      </w:pPr>
    </w:p>
    <w:p>
      <w:pPr>
        <w:pStyle w:val="Heading1"/>
      </w:pPr>
      <w:r>
        <w:t>Appendix A. Minimum variable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96"/>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Variable</w:t>
            </w:r>
          </w:p>
        </w:tc>
        <w:tc>
          <w:tcPr>
            <w:tcW w:type="dxa" w:w="5472"/>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Purpose</w:t>
            </w:r>
          </w:p>
        </w:tc>
        <w:tc>
          <w:tcPr>
            <w:tcW w:type="dxa" w:w="1512"/>
            <w:vAlign w:val="center"/>
            <w:tcMar>
              <w:top w:w="80" w:type="dxa"/>
              <w:start w:w="90" w:type="dxa"/>
              <w:bottom w:w="80" w:type="dxa"/>
              <w:end w:w="90" w:type="dxa"/>
            </w:tcMar>
            <w:shd w:fill="17324D"/>
          </w:tcPr>
          <w:p>
            <w:pPr>
              <w:spacing w:after="0" w:before="0" w:line="240" w:lineRule="auto"/>
              <w:jc w:val="center"/>
            </w:pPr>
            <w:r/>
            <w:r>
              <w:rPr>
                <w:rFonts w:ascii="Liberation Sans" w:hAnsi="Liberation Sans"/>
                <w:b/>
                <w:color w:val="FFFFFF"/>
                <w:sz w:val="17"/>
              </w:rPr>
              <w:t>Frequency</w:t>
            </w:r>
          </w:p>
        </w:tc>
      </w:tr>
      <w:tr>
        <w:trPr>
          <w:cantSplit/>
        </w:trPr>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EUR/JPY spot and forwards</w:t>
            </w:r>
          </w:p>
        </w:tc>
        <w:tc>
          <w:tcPr>
            <w:tcW w:type="dxa" w:w="547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Direct FX and hedge-roll exposure</w:t>
            </w:r>
          </w:p>
        </w:tc>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Intraday/daily</w:t>
            </w:r>
          </w:p>
        </w:tc>
      </w:tr>
      <w:tr>
        <w:trPr>
          <w:cantSplit/>
        </w:trPr>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JPY/EUR, USD/JPY, EUR/USD cross-currency basis</w:t>
            </w:r>
          </w:p>
        </w:tc>
        <w:tc>
          <w:tcPr>
            <w:tcW w:type="dxa" w:w="547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Synthetic funding cost and dollar-intermediation test</w:t>
            </w:r>
          </w:p>
        </w:tc>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Intraday/daily</w:t>
            </w:r>
          </w:p>
        </w:tc>
      </w:tr>
      <w:tr>
        <w:trPr>
          <w:cantSplit/>
        </w:trPr>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TONA, EUR OIS / ESTER, SOFR</w:t>
            </w:r>
          </w:p>
        </w:tc>
        <w:tc>
          <w:tcPr>
            <w:tcW w:type="dxa" w:w="547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Matched cash funding rates</w:t>
            </w:r>
          </w:p>
        </w:tc>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Daily</w:t>
            </w:r>
          </w:p>
        </w:tc>
      </w:tr>
      <w:tr>
        <w:trPr>
          <w:cantSplit/>
        </w:trPr>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Bund / BTP / OAT / JGB / UST total returns</w:t>
            </w:r>
          </w:p>
        </w:tc>
        <w:tc>
          <w:tcPr>
            <w:tcW w:type="dxa" w:w="547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Asset leg, duration, roll, and credit</w:t>
            </w:r>
          </w:p>
        </w:tc>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Daily</w:t>
            </w:r>
          </w:p>
        </w:tc>
      </w:tr>
      <w:tr>
        <w:trPr>
          <w:cantSplit/>
        </w:trPr>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Repo rates, haircuts, specials, fails, IM/VM</w:t>
            </w:r>
          </w:p>
        </w:tc>
        <w:tc>
          <w:tcPr>
            <w:tcW w:type="dxa" w:w="547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Collateral and forced-liquidation mechanism</w:t>
            </w:r>
          </w:p>
        </w:tc>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Daily/weekly</w:t>
            </w:r>
          </w:p>
        </w:tc>
      </w:tr>
      <w:tr>
        <w:trPr>
          <w:cantSplit/>
        </w:trPr>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CFTC and dealer positioning</w:t>
            </w:r>
          </w:p>
        </w:tc>
        <w:tc>
          <w:tcPr>
            <w:tcW w:type="dxa" w:w="547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Public directional positioning proxy</w:t>
            </w:r>
          </w:p>
        </w:tc>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Weekly</w:t>
            </w:r>
          </w:p>
        </w:tc>
      </w:tr>
      <w:tr>
        <w:trPr>
          <w:cantSplit/>
        </w:trPr>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European vs U.S./Japan bank CDS and funding</w:t>
            </w:r>
          </w:p>
        </w:tc>
        <w:tc>
          <w:tcPr>
            <w:tcW w:type="dxa" w:w="547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Relative weak-link test</w:t>
            </w:r>
          </w:p>
        </w:tc>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Daily</w:t>
            </w:r>
          </w:p>
        </w:tc>
      </w:tr>
      <w:tr>
        <w:trPr>
          <w:cantSplit/>
        </w:trPr>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MOF, TIC, BIS cross-border flows</w:t>
            </w:r>
          </w:p>
        </w:tc>
        <w:tc>
          <w:tcPr>
            <w:tcW w:type="dxa" w:w="547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Capital migration and network contraction</w:t>
            </w:r>
          </w:p>
        </w:tc>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Weekly/monthly/quarterly</w:t>
            </w:r>
          </w:p>
        </w:tc>
      </w:tr>
      <w:tr>
        <w:trPr>
          <w:cantSplit/>
        </w:trPr>
        <w:tc>
          <w:tcPr>
            <w:tcW w:type="dxa" w:w="3096"/>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Gold, broad USD, real yields, breakevens, Fed assets</w:t>
            </w:r>
          </w:p>
        </w:tc>
        <w:tc>
          <w:tcPr>
            <w:tcW w:type="dxa" w:w="547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Repair vs debasement discrimination</w:t>
            </w:r>
          </w:p>
        </w:tc>
        <w:tc>
          <w:tcPr>
            <w:tcW w:type="dxa" w:w="1512"/>
            <w:vAlign w:val="center"/>
            <w:tcMar>
              <w:top w:w="80" w:type="dxa"/>
              <w:start w:w="90" w:type="dxa"/>
              <w:bottom w:w="80" w:type="dxa"/>
              <w:end w:w="90" w:type="dxa"/>
            </w:tcMar>
            <w:shd w:fill="FFFFFF"/>
          </w:tcPr>
          <w:p>
            <w:pPr>
              <w:spacing w:after="0" w:before="0" w:line="240" w:lineRule="auto"/>
            </w:pPr>
            <w:r/>
            <w:r>
              <w:rPr>
                <w:rFonts w:ascii="Liberation Sans" w:hAnsi="Liberation Sans"/>
                <w:b w:val="0"/>
                <w:color w:val="444B52"/>
                <w:sz w:val="16"/>
              </w:rPr>
              <w:t>Daily/weekly</w:t>
            </w:r>
          </w:p>
        </w:tc>
      </w:tr>
      <w:tr>
        <w:trPr>
          <w:cantSplit/>
        </w:trPr>
        <w:tc>
          <w:tcPr>
            <w:tcW w:type="dxa" w:w="3096"/>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Stablecoin reserves and offshore dollar claims</w:t>
            </w:r>
          </w:p>
        </w:tc>
        <w:tc>
          <w:tcPr>
            <w:tcW w:type="dxa" w:w="547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Replacement versus additive leverage</w:t>
            </w:r>
          </w:p>
        </w:tc>
        <w:tc>
          <w:tcPr>
            <w:tcW w:type="dxa" w:w="1512"/>
            <w:vAlign w:val="center"/>
            <w:tcMar>
              <w:top w:w="80" w:type="dxa"/>
              <w:start w:w="90" w:type="dxa"/>
              <w:bottom w:w="80" w:type="dxa"/>
              <w:end w:w="90" w:type="dxa"/>
            </w:tcMar>
            <w:shd w:fill="F2F4F6"/>
          </w:tcPr>
          <w:p>
            <w:pPr>
              <w:spacing w:after="0" w:before="0" w:line="240" w:lineRule="auto"/>
            </w:pPr>
            <w:r/>
            <w:r>
              <w:rPr>
                <w:rFonts w:ascii="Liberation Sans" w:hAnsi="Liberation Sans"/>
                <w:b w:val="0"/>
                <w:color w:val="444B52"/>
                <w:sz w:val="16"/>
              </w:rPr>
              <w:t>Monthly/quarterly</w:t>
            </w:r>
          </w:p>
        </w:tc>
      </w:tr>
    </w:tbl>
    <w:p>
      <w:pPr>
        <w:pStyle w:val="Heading1"/>
      </w:pPr>
      <w:r>
        <w:t>Appendix B. Official public sources</w:t>
      </w:r>
    </w:p>
    <w:p>
      <w:pPr>
        <w:pStyle w:val="ListBullet"/>
        <w:keepNext w:val="0"/>
        <w:keepLines w:val="0"/>
        <w:widowControl w:val="0"/>
        <w:spacing w:after="20"/>
      </w:pPr>
      <w:r>
        <w:rPr>
          <w:rFonts w:ascii="Liberation Sans" w:hAnsi="Liberation Sans"/>
          <w:sz w:val="17"/>
        </w:rPr>
        <w:t>Federal Reserve Economic Data graph CSV: https://fred.stlouisfed.org/graph/fredgraph.csv</w:t>
      </w:r>
    </w:p>
    <w:p>
      <w:pPr>
        <w:pStyle w:val="ListBullet"/>
        <w:keepNext w:val="0"/>
        <w:keepLines w:val="0"/>
        <w:widowControl w:val="0"/>
        <w:spacing w:after="20"/>
      </w:pPr>
      <w:r>
        <w:rPr>
          <w:rFonts w:ascii="Liberation Sans" w:hAnsi="Liberation Sans"/>
          <w:sz w:val="17"/>
        </w:rPr>
        <w:t>CFTC Traders in Financial Futures: https://publicreporting.cftc.gov/resource/gpe5-46if.csv (current text: /dea/newcot/FinFutWk.txt)</w:t>
      </w:r>
    </w:p>
    <w:p>
      <w:pPr>
        <w:pStyle w:val="ListBullet"/>
        <w:keepNext w:val="0"/>
        <w:keepLines w:val="0"/>
        <w:widowControl w:val="0"/>
        <w:spacing w:after="20"/>
      </w:pPr>
      <w:r>
        <w:rPr>
          <w:rFonts w:ascii="Liberation Sans" w:hAnsi="Liberation Sans"/>
          <w:sz w:val="17"/>
        </w:rPr>
        <w:t>Japan MOF weekly international securities transactions: https://www.mof.go.jp/policy/international_policy/reference/itn_transactions_in_securities/week.csv</w:t>
      </w:r>
    </w:p>
    <w:p>
      <w:pPr>
        <w:pStyle w:val="ListBullet"/>
        <w:keepNext w:val="0"/>
        <w:keepLines w:val="0"/>
        <w:widowControl w:val="0"/>
        <w:spacing w:after="20"/>
      </w:pPr>
      <w:r>
        <w:rPr>
          <w:rFonts w:ascii="Liberation Sans" w:hAnsi="Liberation Sans"/>
          <w:sz w:val="17"/>
        </w:rPr>
        <w:t>Treasury TIC SLT table 3: https://ticdata.treasury.gov/resource-center/data-chart-center/tic/Documents/slt_table3.txt</w:t>
      </w:r>
    </w:p>
    <w:p>
      <w:pPr>
        <w:pStyle w:val="ListBullet"/>
        <w:keepNext w:val="0"/>
        <w:keepLines w:val="0"/>
        <w:widowControl w:val="0"/>
        <w:spacing w:after="20"/>
      </w:pPr>
      <w:r>
        <w:rPr>
          <w:rFonts w:ascii="Liberation Sans" w:hAnsi="Liberation Sans"/>
          <w:sz w:val="17"/>
        </w:rPr>
        <w:t>BIS data portal and SDMX interface: https://data.bis.org/</w:t>
      </w:r>
    </w:p>
    <w:p>
      <w:pPr>
        <w:pStyle w:val="ListBullet"/>
        <w:keepNext w:val="0"/>
        <w:keepLines w:val="0"/>
        <w:widowControl w:val="0"/>
        <w:spacing w:after="20"/>
      </w:pPr>
      <w:r>
        <w:rPr>
          <w:rFonts w:ascii="Liberation Sans" w:hAnsi="Liberation Sans"/>
          <w:sz w:val="17"/>
        </w:rPr>
        <w:t>ECB Data Portal API: https://data-api.ecb.europa.eu/</w:t>
      </w:r>
    </w:p>
    <w:p>
      <w:pPr>
        <w:pStyle w:val="ListBullet"/>
        <w:keepNext w:val="0"/>
        <w:keepLines w:val="0"/>
        <w:widowControl w:val="0"/>
        <w:spacing w:after="20"/>
      </w:pPr>
      <w:r>
        <w:rPr>
          <w:rFonts w:ascii="Liberation Sans" w:hAnsi="Liberation Sans"/>
          <w:sz w:val="17"/>
        </w:rPr>
        <w:t>Federal Reserve / Treasury accounting references for swaps, gold certificates, and official reserves are linked in the accompanying README.</w:t>
      </w:r>
    </w:p>
    <w:p>
      <w:pPr>
        <w:pStyle w:val="Heading1"/>
      </w:pPr>
      <w:r>
        <w:t>Appendix C. Interpretation rules</w:t>
      </w:r>
    </w:p>
    <w:p>
      <w:pPr>
        <w:pStyle w:val="ListBullet"/>
        <w:keepNext w:val="0"/>
        <w:keepLines w:val="0"/>
        <w:widowControl w:val="0"/>
        <w:spacing w:after="50" w:line="254" w:lineRule="auto"/>
      </w:pPr>
      <w:r>
        <w:rPr>
          <w:rFonts w:ascii="Liberation Sans" w:hAnsi="Liberation Sans"/>
          <w:sz w:val="19"/>
        </w:rPr>
        <w:t>A missing source is missing, not zero.</w:t>
      </w:r>
    </w:p>
    <w:p>
      <w:pPr>
        <w:pStyle w:val="ListBullet"/>
        <w:keepNext w:val="0"/>
        <w:keepLines w:val="0"/>
        <w:widowControl w:val="0"/>
        <w:spacing w:after="50" w:line="254" w:lineRule="auto"/>
      </w:pPr>
      <w:r>
        <w:rPr>
          <w:rFonts w:ascii="Liberation Sans" w:hAnsi="Liberation Sans"/>
          <w:sz w:val="19"/>
        </w:rPr>
        <w:t>A raw yield spread is a diagnostic, not an executable covered return.</w:t>
      </w:r>
    </w:p>
    <w:p>
      <w:pPr>
        <w:pStyle w:val="ListBullet"/>
        <w:keepNext w:val="0"/>
        <w:keepLines w:val="0"/>
        <w:widowControl w:val="0"/>
        <w:spacing w:after="50" w:line="254" w:lineRule="auto"/>
      </w:pPr>
      <w:r>
        <w:rPr>
          <w:rFonts w:ascii="Liberation Sans" w:hAnsi="Liberation Sans"/>
          <w:sz w:val="19"/>
        </w:rPr>
        <w:t>A booking location is not automatically an ultimate beneficial owner or political principal.</w:t>
      </w:r>
    </w:p>
    <w:p>
      <w:pPr>
        <w:pStyle w:val="ListBullet"/>
        <w:keepNext w:val="0"/>
        <w:keepLines w:val="0"/>
        <w:widowControl w:val="0"/>
        <w:spacing w:after="50" w:line="254" w:lineRule="auto"/>
      </w:pPr>
      <w:r>
        <w:rPr>
          <w:rFonts w:ascii="Liberation Sans" w:hAnsi="Liberation Sans"/>
          <w:sz w:val="19"/>
        </w:rPr>
        <w:t>A liquidity facility is not automatically an FX intervention.</w:t>
      </w:r>
    </w:p>
    <w:p>
      <w:pPr>
        <w:pStyle w:val="ListBullet"/>
        <w:keepNext w:val="0"/>
        <w:keepLines w:val="0"/>
        <w:widowControl w:val="0"/>
        <w:spacing w:after="50" w:line="254" w:lineRule="auto"/>
      </w:pPr>
      <w:r>
        <w:rPr>
          <w:rFonts w:ascii="Liberation Sans" w:hAnsi="Liberation Sans"/>
          <w:sz w:val="19"/>
        </w:rPr>
        <w:t>A market gold revaluation is not automatically a monetary or fiscal balance-sheet operation.</w:t>
      </w:r>
    </w:p>
    <w:p>
      <w:pPr>
        <w:pStyle w:val="ListBullet"/>
        <w:keepNext w:val="0"/>
        <w:keepLines w:val="0"/>
        <w:widowControl w:val="0"/>
        <w:spacing w:after="50" w:line="254" w:lineRule="auto"/>
      </w:pPr>
      <w:r>
        <w:rPr>
          <w:rFonts w:ascii="Liberation Sans" w:hAnsi="Liberation Sans"/>
          <w:sz w:val="19"/>
        </w:rPr>
        <w:t>Pre-specify the sequence; record any failed observation that forces a revision.</w:t>
      </w:r>
    </w:p>
    <w:sectPr w:rsidR="00FC693F" w:rsidRPr="0006063C" w:rsidSect="00034616">
      <w:headerReference w:type="default" r:id="rId9"/>
      <w:footerReference w:type="default" r:id="rId10"/>
      <w:pgSz w:w="12240" w:h="15840"/>
      <w:pgMar w:top="979"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7B858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B858D"/>
        <w:sz w:val="15"/>
      </w:rPr>
      <w:t>FROM THESIS TO TEST  /  WORKING NOTE FOR TOM LUONGO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444B5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F6F7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2F6F74"/>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Thesis to Test: Yen-Carry / Collateral-Regime Research Protocol</dc:title>
  <dc:subject>Working note for Tom Luongo</dc:subject>
  <dc:creator>Jason St George</dc:creator>
  <cp:keywords>yen carry, cross-currency basis, collateral, gold, falsification, BOJ</cp:keywords>
  <dc:description>generated by python-docx</dc:description>
  <cp:lastModifiedBy/>
  <cp:revision>1</cp:revision>
  <dcterms:created xsi:type="dcterms:W3CDTF">2013-12-23T23:15:00Z</dcterms:created>
  <dcterms:modified xsi:type="dcterms:W3CDTF">2013-12-23T23:15:00Z</dcterms:modified>
  <cp:category/>
</cp:coreProperties>
</file>