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Classificador de Cartas de Baralho por Visão Computacional</w:t>
      </w:r>
    </w:p>
    <w:p>
      <w:pPr>
        <w:spacing w:after="200"/>
        <w:jc w:val="center"/>
      </w:pPr>
      <w:r>
        <w:rPr>
          <w:b w:val="0"/>
          <w:i/>
          <w:sz w:val="24"/>
        </w:rPr>
        <w:t>Transfer learning com EfficientNet-B0 vs. baseline clássico (HOG + Regressão Logística)</w:t>
      </w:r>
    </w:p>
    <w:p>
      <w:pPr>
        <w:spacing w:after="40"/>
        <w:jc w:val="center"/>
      </w:pPr>
      <w:r>
        <w:rPr>
          <w:b/>
          <w:i w:val="0"/>
        </w:rPr>
        <w:t>Projeto de IA / ML / DL — ICD / ADS</w:t>
      </w:r>
    </w:p>
    <w:p>
      <w:pPr>
        <w:spacing w:after="40"/>
        <w:jc w:val="center"/>
      </w:pPr>
      <w:r>
        <w:rPr>
          <w:b w:val="0"/>
          <w:i w:val="0"/>
        </w:rPr>
        <w:t>Autores: Nicolas e Herick</w:t>
      </w:r>
    </w:p>
    <w:p>
      <w:pPr>
        <w:spacing w:after="40"/>
        <w:jc w:val="center"/>
      </w:pPr>
      <w:r>
        <w:rPr>
          <w:b w:val="0"/>
          <w:i w:val="0"/>
        </w:rPr>
        <w:t>Repositório: https://github.com/ifsc-sj-projetos-ia/classificador-de-cartas</w:t>
      </w:r>
    </w:p>
    <w:p>
      <w:pPr>
        <w:spacing w:after="240"/>
        <w:jc w:val="center"/>
      </w:pPr>
      <w:r>
        <w:rPr>
          <w:b w:val="0"/>
          <w:i w:val="0"/>
        </w:rPr>
        <w:t>Demonstração on-line: https://herickhuggingfaceaccount-cartas.hf.space</w:t>
      </w:r>
    </w:p>
    <w:p>
      <w:pPr>
        <w:pStyle w:val="Heading1"/>
      </w:pPr>
      <w:r>
        <w:rPr>
          <w:color w:val="1F4E79"/>
        </w:rPr>
        <w:t>1. Introdução e definição do problema</w:t>
      </w:r>
    </w:p>
    <w:p>
      <w:pPr>
        <w:spacing w:after="120"/>
      </w:pPr>
      <w:r>
        <w:rPr>
          <w:b w:val="0"/>
          <w:i w:val="0"/>
        </w:rPr>
        <w:t>Este projeto constrói um classificador de cartas de baralho por visão computacional: dada uma imagem RGB de uma única carta já recortada, o sistema devolve um rótulo entre 53 classes — as 52 cartas de um baralho francês padrão (13 valores × 4 naipes) mais o coringa. É um problema de classificação multiclasse de imagem única, resolvido por transfer learning com EfficientNet-B0 (PyTorch/torchvision) e comparado a um baseline clássico (HOG + Regressão Logística, scikit-learn).</w:t>
      </w:r>
    </w:p>
    <w:p>
      <w:pPr>
        <w:spacing w:after="40"/>
      </w:pPr>
      <w:r>
        <w:rPr>
          <w:b/>
          <w:i w:val="0"/>
        </w:rPr>
        <w:t>Motivação e impacto humano.</w:t>
      </w:r>
    </w:p>
    <w:p>
      <w:pPr>
        <w:pStyle w:val="ListBullet"/>
        <w:spacing w:after="60"/>
      </w:pPr>
      <w:r>
        <w:rPr>
          <w:b/>
        </w:rPr>
        <w:t xml:space="preserve">Educacional (primário): </w:t>
      </w:r>
      <w:r>
        <w:rPr>
          <w:b w:val="0"/>
        </w:rPr>
        <w:t>apoiar o ensino de probabilidade, raciocínio combinatório e regras de jogos para crianças e idosos, tornando conceitos abstratos tangíveis a partir de cartas reconhecidas pela câmera; e servir de material didático de visão computacional.</w:t>
      </w:r>
    </w:p>
    <w:p>
      <w:pPr>
        <w:pStyle w:val="ListBullet"/>
        <w:spacing w:after="60"/>
      </w:pPr>
      <w:r>
        <w:rPr>
          <w:b/>
        </w:rPr>
        <w:t xml:space="preserve">Acessibilidade (secundário): </w:t>
      </w:r>
      <w:r>
        <w:rPr>
          <w:b w:val="0"/>
        </w:rPr>
        <w:t>ler a carta identificada em voz alta (ex.: “Dama de Copas”), apoiando a autonomia de pessoas com deficiência visual.</w:t>
      </w:r>
    </w:p>
    <w:p>
      <w:pPr>
        <w:pStyle w:val="ListBullet"/>
        <w:spacing w:after="60"/>
      </w:pPr>
      <w:r>
        <w:rPr>
          <w:b/>
        </w:rPr>
        <w:t xml:space="preserve">Pesquisa/benchmark: </w:t>
      </w:r>
      <w:r>
        <w:rPr>
          <w:b w:val="0"/>
        </w:rPr>
        <w:t>pipeline reprodutível (dataset público, seed fixa, dependências pinadas) como base comparável.</w:t>
      </w:r>
    </w:p>
    <w:p>
      <w:pPr>
        <w:spacing w:after="40"/>
      </w:pPr>
      <w:r>
        <w:rPr>
          <w:b/>
          <w:i w:val="0"/>
        </w:rPr>
        <w:t>Público-alvo.</w:t>
      </w:r>
    </w:p>
    <w:p>
      <w:pPr>
        <w:spacing w:after="120"/>
      </w:pPr>
      <w:r>
        <w:rPr>
          <w:b w:val="0"/>
          <w:i w:val="0"/>
        </w:rPr>
        <w:t>Educadores e estudantes (matemática elementar), pessoas com deficiência visual (apoio assistivo) e estudantes de visão computacional que usam o pipeline como exemplo didático.</w:t>
      </w:r>
    </w:p>
    <w:p>
      <w:pPr>
        <w:spacing w:after="40"/>
      </w:pPr>
      <w:r>
        <w:rPr>
          <w:b/>
          <w:i w:val="0"/>
        </w:rPr>
        <w:t>Requisitos.</w:t>
      </w:r>
    </w:p>
    <w:p>
      <w:pPr>
        <w:pStyle w:val="ListBullet"/>
        <w:spacing w:after="60"/>
      </w:pPr>
      <w:r>
        <w:rPr>
          <w:b/>
        </w:rPr>
        <w:t xml:space="preserve">Funcionais: </w:t>
      </w:r>
      <w:r>
        <w:rPr>
          <w:b w:val="0"/>
        </w:rPr>
        <w:t>aceitar 1 carta recortada (RGB); retornar a classe entre 53 e o top-k com probabilidades; inferência em CPU; treino reprodutível; baseline para comparação; avaliação com métricas e artefatos; avaliação OOD; recarga de modelo salvo.</w:t>
      </w:r>
    </w:p>
    <w:p>
      <w:pPr>
        <w:pStyle w:val="ListBullet"/>
        <w:spacing w:after="60"/>
      </w:pPr>
      <w:r>
        <w:rPr>
          <w:b/>
        </w:rPr>
        <w:t xml:space="preserve">Não funcionais: </w:t>
      </w:r>
      <w:r>
        <w:rPr>
          <w:b w:val="0"/>
        </w:rPr>
        <w:t>processamento on-device e minimização de dados (privacidade/LGPD); declaração de usos proibidos (não-uso em apostas); transparência de limitações; licença MIT no código; latência interativa em CPU; treino viável em GPU T4 grátis; reprodutibilidade (set_seed(42), deps pinadas).</w:t>
      </w:r>
    </w:p>
    <w:p>
      <w:pPr>
        <w:pStyle w:val="ListBullet"/>
        <w:spacing w:after="60"/>
      </w:pPr>
      <w:r>
        <w:rPr>
          <w:b/>
        </w:rPr>
        <w:t xml:space="preserve">Métricas de sucesso: </w:t>
      </w:r>
      <w:r>
        <w:rPr>
          <w:b w:val="0"/>
        </w:rPr>
        <w:t>accuracy e F1-macro no teste (meta: superar o baseline e atingir &gt;90% / &gt;0,90); gap OOD como medida de generalização; matriz de confusão e análise de “confusões perigosas”.</w:t>
      </w:r>
    </w:p>
    <w:p>
      <w:pPr>
        <w:pStyle w:val="Heading1"/>
      </w:pPr>
      <w:r>
        <w:rPr>
          <w:color w:val="1F4E79"/>
        </w:rPr>
        <w:t>2. Dados e metodologia</w:t>
      </w:r>
    </w:p>
    <w:p>
      <w:pPr>
        <w:spacing w:after="40"/>
      </w:pPr>
      <w:r>
        <w:rPr>
          <w:b/>
          <w:i w:val="0"/>
        </w:rPr>
        <w:t>Dataset (in-distribution).</w:t>
      </w:r>
    </w:p>
    <w:p>
      <w:pPr>
        <w:spacing w:after="120"/>
      </w:pPr>
      <w:r>
        <w:rPr>
          <w:b w:val="0"/>
          <w:i w:val="0"/>
        </w:rPr>
        <w:t>Cards Image Dataset-Classification (autor gpiosenka, Kaggle): 53 classes, imagens 224×224×3 já recortadas, com split oficial treino 7.624 / validação 265 / teste 265 (5 imagens por classe em validação e teste). O split é adotado sem modificação para preservar comparabilidade. O repositório não redistribui as imagens (licença marcada como “Other” no Kaggle, a confirmar): a pasta data/ traz apenas instruções de download.</w:t>
      </w:r>
    </w:p>
    <w:p>
      <w:pPr>
        <w:spacing w:after="120"/>
      </w:pPr>
      <w:r>
        <w:rPr>
          <w:b w:val="0"/>
          <w:i w:val="0"/>
        </w:rPr>
        <w:t>Como validação e teste têm apenas 5 imagens por classe, as métricas são estatisticamente ruidosas (o acerto/erro de uma imagem muda a acurácia daquela classe em ~20 pp). Por isso privilegiamos F1-macro e a matriz de confusão sobre a acurácia isolada e evitamos overclaiming em diferenças pequenas.</w:t>
      </w:r>
    </w:p>
    <w:p>
      <w:pPr>
        <w:spacing w:after="40"/>
      </w:pPr>
      <w:r>
        <w:rPr>
          <w:b/>
          <w:i w:val="0"/>
        </w:rPr>
        <w:t>Pré-processamento.</w:t>
      </w:r>
    </w:p>
    <w:p>
      <w:pPr>
        <w:spacing w:after="120"/>
      </w:pPr>
      <w:r>
        <w:rPr>
          <w:b w:val="0"/>
          <w:i w:val="0"/>
        </w:rPr>
        <w:t>Verificação de integridade e conversão para RGB; Resize(224×224) explícito por robustez; normalização com média/desvio do ImageNet (a mesma para treino, validação, teste e OOD, pois o backbone foi pré-treinado com ela).</w:t>
      </w:r>
    </w:p>
    <w:p>
      <w:pPr>
        <w:spacing w:after="40"/>
      </w:pPr>
      <w:r>
        <w:rPr>
          <w:b/>
          <w:i w:val="0"/>
        </w:rPr>
        <w:t>Modelo principal e baseline.</w:t>
      </w:r>
    </w:p>
    <w:p>
      <w:pPr>
        <w:spacing w:after="120"/>
      </w:pPr>
      <w:r>
        <w:rPr>
          <w:b w:val="0"/>
          <w:i w:val="0"/>
        </w:rPr>
        <w:t>Baseline: HOG (orientations=9, 16×16 px/célula, 128×128 cinza) + StandardScaler + Regressão Logística — piso de comparação barato (CPU). Modelo principal: EfficientNet-B0 pré-treinada no ImageNet, com a cabeça substituída por Dropout(0.3) + Linear(53). Escolhida pelo equilíbrio acurácia/custo (treina na T4 grátis, infere em CPU); o código também suporta ResNet18 e MobileNet-V3.</w:t>
      </w:r>
    </w:p>
    <w:p>
      <w:pPr>
        <w:spacing w:after="40"/>
      </w:pPr>
      <w:r>
        <w:rPr>
          <w:b/>
          <w:i w:val="0"/>
        </w:rPr>
        <w:t>Treino em duas fases.</w:t>
      </w:r>
    </w:p>
    <w:p>
      <w:pPr>
        <w:pStyle w:val="ListBullet"/>
        <w:spacing w:after="60"/>
      </w:pPr>
      <w:r>
        <w:rPr>
          <w:b/>
        </w:rPr>
        <w:t xml:space="preserve">Fase 1 — feature extraction: </w:t>
      </w:r>
      <w:r>
        <w:rPr>
          <w:b w:val="0"/>
        </w:rPr>
        <w:t>backbone congelado, treina só a cabeça (8 épocas, AdamW, LR 1e-3).</w:t>
      </w:r>
    </w:p>
    <w:p>
      <w:pPr>
        <w:pStyle w:val="ListBullet"/>
        <w:spacing w:after="60"/>
      </w:pPr>
      <w:r>
        <w:rPr>
          <w:b/>
        </w:rPr>
        <w:t xml:space="preserve">Fase 2 — fine-tuning: </w:t>
      </w:r>
      <w:r>
        <w:rPr>
          <w:b w:val="0"/>
        </w:rPr>
        <w:t>descongela o backbone (AdamW, LR de pico 3e-4 + cosine annealing, até 20 épocas, early stopping com paciência 6). O melhor checkpoint ficou ~época 12.</w:t>
      </w:r>
    </w:p>
    <w:p>
      <w:pPr>
        <w:spacing w:after="40"/>
      </w:pPr>
      <w:r>
        <w:rPr>
          <w:b/>
          <w:i w:val="0"/>
        </w:rPr>
        <w:t>Data augmentation (só no treino).</w:t>
      </w:r>
    </w:p>
    <w:p>
      <w:pPr>
        <w:spacing w:after="120"/>
      </w:pPr>
      <w:r>
        <w:rPr>
          <w:b w:val="0"/>
          <w:i w:val="0"/>
        </w:rPr>
        <w:t>RandomRotation(15), ColorJitter (brilho/contraste/saturação), RandomAffine (translação/escala) e RandomErasing — simulam variação de captura. Flips foram evitados de propósito (cartas têm orientação). Validação/teste/OOD usam só resize + normalização.</w:t>
      </w:r>
    </w:p>
    <w:p>
      <w:pPr>
        <w:spacing w:after="40"/>
      </w:pPr>
      <w:r>
        <w:rPr>
          <w:b/>
          <w:i w:val="0"/>
        </w:rPr>
        <w:t>Reprodutibilidade.</w:t>
      </w:r>
    </w:p>
    <w:p>
      <w:pPr>
        <w:spacing w:after="120"/>
      </w:pPr>
      <w:r>
        <w:rPr>
          <w:b w:val="0"/>
          <w:i w:val="0"/>
        </w:rPr>
        <w:t>set_seed(42) (random/numpy/torch + cuDNN determinístico), requirements.txt com versões pinadas, split oficial fixo e checkpoint autocontido (pesos + nomes de classe + config + histórico). Treino no Google Colab (GPU T4), com backup automático no Google Drive (runtime efêmero).</w:t>
      </w:r>
    </w:p>
    <w:p>
      <w:pPr>
        <w:spacing w:after="40"/>
      </w:pPr>
      <w:r>
        <w:rPr>
          <w:b/>
          <w:i w:val="0"/>
        </w:rPr>
        <w:t>Vieses e limitações da base.</w:t>
      </w:r>
    </w:p>
    <w:p>
      <w:pPr>
        <w:spacing w:after="120"/>
      </w:pPr>
      <w:r>
        <w:rPr>
          <w:b w:val="0"/>
          <w:i w:val="0"/>
        </w:rPr>
        <w:t>Treino num único design de baralho (viés de domínio forte) e fundos uniformes/padronizados; val/teste pequenos (métricas ruidosas). Esses pontos motivam a avaliação OOD (Experimento 3).</w:t>
      </w:r>
    </w:p>
    <w:p>
      <w:pPr>
        <w:pStyle w:val="Heading1"/>
      </w:pPr>
      <w:r>
        <w:rPr>
          <w:color w:val="1F4E79"/>
        </w:rPr>
        <w:t>3. Experimentos e resultados</w:t>
      </w:r>
    </w:p>
    <w:p>
      <w:pPr>
        <w:spacing w:after="120"/>
      </w:pPr>
      <w:r>
        <w:rPr>
          <w:b w:val="0"/>
          <w:i w:val="0"/>
        </w:rPr>
        <w:t>Quatro experimentos controlados (um fator por vez), todos com set_seed(42) no notebook do Colab.</w:t>
      </w:r>
    </w:p>
    <w:p>
      <w:pPr>
        <w:pStyle w:val="ListBullet"/>
        <w:spacing w:after="60"/>
      </w:pPr>
      <w:r>
        <w:rPr>
          <w:b/>
        </w:rPr>
        <w:t xml:space="preserve">Exp. 1 — FE vs. fine-tuning: </w:t>
      </w:r>
      <w:r>
        <w:rPr>
          <w:b w:val="0"/>
        </w:rPr>
        <w:t>descongelar o backbone leva a acurácia de teste de 0,3849 para 0,9472 (+56 pp). Sem fine-tuning, a rede fica abaixo até do baseline — fine-tuning não é opcional neste domínio.</w:t>
      </w:r>
    </w:p>
    <w:p>
      <w:pPr>
        <w:pStyle w:val="ListBullet"/>
        <w:spacing w:after="60"/>
      </w:pPr>
      <w:r>
        <w:rPr>
          <w:b/>
        </w:rPr>
        <w:t xml:space="preserve">Exp. 2 — com vs. sem augmentation: </w:t>
      </w:r>
      <w:r>
        <w:rPr>
          <w:b w:val="0"/>
        </w:rPr>
        <w:t>no teste limpo, sem aug é ~2,6 pp maior (0,9736 vs 0,9472); no OOD de design, empatam (0,5926). A augmentation simula variação de captura, não de design — por isso não move este OOD.</w:t>
      </w:r>
    </w:p>
    <w:p>
      <w:pPr>
        <w:pStyle w:val="ListBullet"/>
        <w:spacing w:after="60"/>
      </w:pPr>
      <w:r>
        <w:rPr>
          <w:b/>
        </w:rPr>
        <w:t xml:space="preserve">Exp. 3 — avaliação OOD (gap de design): </w:t>
      </w:r>
      <w:r>
        <w:rPr>
          <w:b w:val="0"/>
        </w:rPr>
        <w:t>teste 0,9472 → OOD 0,5926; gap ≈ 35 pp. Mostra que o modelo decorou parcialmente o estilo visual do treino. Como o OOD usa imagens limpas, esse gap é um limite inferior do esperado com fotos reais.</w:t>
      </w:r>
    </w:p>
    <w:p>
      <w:pPr>
        <w:pStyle w:val="ListBullet"/>
        <w:spacing w:after="60"/>
      </w:pPr>
      <w:r>
        <w:rPr>
          <w:b/>
        </w:rPr>
        <w:t xml:space="preserve">Exp. 4 — tentativa de reduzir o gap (resultado negativo): </w:t>
      </w:r>
      <w:r>
        <w:rPr>
          <w:b w:val="0"/>
        </w:rPr>
        <w:t>misturar um 2º design no treino (Kenney, CC0) + augmentation de aparência manteve a OOD em 0,5926 (mesmas 32/54 cartas certas). Diversidade de estilo genérica não aproxima do design-alvo — os erros são estruturais, não de margem. Reforça o achado do Exp. 3.</w:t>
      </w:r>
    </w:p>
    <w:p>
      <w:pPr>
        <w:spacing w:after="60"/>
      </w:pPr>
      <w:r>
        <w:rPr>
          <w:b/>
          <w:i w:val="0"/>
        </w:rPr>
        <w:t>Tabela — resultados consolidados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Configuração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Acc. teste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F1 teste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Acc. OOD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F1 OOD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Baseline: HOG + Reg. Logística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0,7057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0,6977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EfficientNet-B0 — FE (congelado)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0,3849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0,3630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b/>
                <w:sz w:val="18"/>
              </w:rPr>
              <w:t>EfficientNet-B0 — FE+FT com aug (principal)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0,9472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0,9472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0,5926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0,5741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EfficientNet-B0 — FE+FT sem aug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0,9736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0,9734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0,5926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0,5678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EfficientNet-B0 — 2º design + aug aparência (Exp. 4)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0,5926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0,5710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Leituras-chave.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O modelo principal supera o baseline com folga (94,7% vs 70,6%) e atinge as metas (&gt;90% acc, &gt;0,90 F1).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F1-macro = accuracy (0,9472) indica desempenho homogêneo entre as 53 classes — sem necessidade de class weights.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Três intervenções distintas deixaram a OOD inalterada (sempre 0,5926): o gap reflete distância de design real, não falta de regularização.</w:t>
      </w:r>
    </w:p>
    <w:p>
      <w:pPr>
        <w:spacing w:after="40"/>
      </w:pPr>
      <w:r>
        <w:rPr>
          <w:b/>
          <w:i w:val="0"/>
        </w:rPr>
        <w:t>Análise de erros.</w:t>
      </w:r>
    </w:p>
    <w:p>
      <w:pPr>
        <w:spacing w:after="120"/>
      </w:pPr>
      <w:r>
        <w:rPr>
          <w:b w:val="0"/>
          <w:i w:val="0"/>
        </w:rPr>
        <w:t>Apenas 14 erros em 265 no teste. O padrão dominante é troca de valor dentro do mesmo naipe (contagem de pips em cartas numéricas próximas, ex.: 8↔9). Não houve troca de naipe/cor entre as confusões — o modelo lê bem o naipe, o que é positivo para segurança no uso educacional/assistivo. Classe mais frágil: joker (design atípico e poucas amostras).</w:t>
      </w:r>
    </w:p>
    <w:p>
      <w:pPr>
        <w:spacing w:after="60"/>
      </w:pPr>
      <w:r>
        <w:rPr>
          <w:b/>
          <w:i w:val="0"/>
        </w:rPr>
        <w:t>Figuras — matrizes de confusão (teste à esquerda; OOD à direita)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28690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_te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690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28690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_oo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690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Discussão (overfitting/generalização).</w:t>
      </w:r>
    </w:p>
    <w:p>
      <w:pPr>
        <w:spacing w:after="120"/>
      </w:pPr>
      <w:r>
        <w:rPr>
          <w:b w:val="0"/>
          <w:i w:val="0"/>
        </w:rPr>
        <w:t>Não há overfitting clássico in-distribution (val e teste altos e próximos). A limitação real é de generalização entre domínios: o gap OOD de ~35 pp, robusto a quatro configurações de treino, é o principal achado. Caminhos de melhoria: treinar com designs próximos do alvo, muito mais diversidade de baralhos, e — sobretudo — atacar o gap de captura com fotos reais.</w:t>
      </w:r>
    </w:p>
    <w:p>
      <w:pPr>
        <w:pStyle w:val="Heading1"/>
      </w:pPr>
      <w:r>
        <w:rPr>
          <w:color w:val="1F4E79"/>
        </w:rPr>
        <w:t>4. Limitações, ética e impacto humano</w:t>
      </w:r>
    </w:p>
    <w:p>
      <w:pPr>
        <w:spacing w:after="40"/>
      </w:pPr>
      <w:r>
        <w:rPr>
          <w:b/>
          <w:i w:val="0"/>
        </w:rPr>
        <w:t>Limitações principais.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Val/teste pequenos (5 img/classe) → métricas ruidosas; diferenças finas podem não ser significativas.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Treino em um único design e fundos limpos; o gap OOD medido é limite inferior (fotos reais tendem a piorar).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Escopo restrito a classificação (exige carta já recortada); sem detecção/segmentação.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Probabilidades de softmax sem garantia de calibração.</w:t>
      </w:r>
    </w:p>
    <w:p>
      <w:pPr>
        <w:spacing w:after="40"/>
      </w:pPr>
      <w:r>
        <w:rPr>
          <w:b/>
          <w:i w:val="0"/>
        </w:rPr>
        <w:t>Ética e impacto (defesa vs. risco).</w:t>
      </w:r>
    </w:p>
    <w:p>
      <w:pPr>
        <w:pStyle w:val="ListBullet"/>
        <w:spacing w:after="60"/>
      </w:pPr>
      <w:r>
        <w:rPr>
          <w:b/>
        </w:rPr>
        <w:t xml:space="preserve">Dual-use / trapaça: </w:t>
      </w:r>
      <w:r>
        <w:rPr>
          <w:b w:val="0"/>
        </w:rPr>
        <w:t>um classificador de cartas é o componente perceptivo de um sistema de assistência em tempo real (RTA), proibido em pôquer online e potencialmente fraudulento. Mitigação: declarar o uso como PROIBIDO (README/model card) e manter o escopo em classificação, sem construir a varredura de mesa.</w:t>
      </w:r>
    </w:p>
    <w:p>
      <w:pPr>
        <w:pStyle w:val="ListBullet"/>
        <w:spacing w:after="60"/>
      </w:pPr>
      <w:r>
        <w:rPr>
          <w:b/>
        </w:rPr>
        <w:t xml:space="preserve">Jogo problemático: </w:t>
      </w:r>
      <w:r>
        <w:rPr>
          <w:b w:val="0"/>
        </w:rPr>
        <w:t>enquadramento educacional explícito e modo “leitura carta por carta”, não scan de mesa ao vivo.</w:t>
      </w:r>
    </w:p>
    <w:p>
      <w:pPr>
        <w:pStyle w:val="ListBullet"/>
        <w:spacing w:after="60"/>
      </w:pPr>
      <w:r>
        <w:rPr>
          <w:b/>
        </w:rPr>
        <w:t xml:space="preserve">Privacidade/LGPD (Lei 13.709/2018): </w:t>
      </w:r>
      <w:r>
        <w:rPr>
          <w:b w:val="0"/>
        </w:rPr>
        <w:t>processamento on-device, sem persistir imagens e com minimização de dados (enquadrar só a carta). Atenção redobrada por envolver crianças e idosos.</w:t>
      </w:r>
    </w:p>
    <w:p>
      <w:pPr>
        <w:pStyle w:val="ListBullet"/>
        <w:spacing w:after="60"/>
      </w:pPr>
      <w:r>
        <w:rPr>
          <w:b/>
        </w:rPr>
        <w:t xml:space="preserve">Viés de dataset: </w:t>
      </w:r>
      <w:r>
        <w:rPr>
          <w:b w:val="0"/>
        </w:rPr>
        <w:t>medir e reportar o gap OOD em vez de só a acurácia limpa; documentar limitações no model card.</w:t>
      </w:r>
    </w:p>
    <w:p>
      <w:pPr>
        <w:spacing w:after="40"/>
      </w:pPr>
      <w:r>
        <w:rPr>
          <w:b/>
          <w:i w:val="0"/>
        </w:rPr>
        <w:t>Contextos de não-uso.</w:t>
      </w:r>
    </w:p>
    <w:p>
      <w:pPr>
        <w:spacing w:after="120"/>
      </w:pPr>
      <w:r>
        <w:rPr>
          <w:b w:val="0"/>
          <w:i w:val="0"/>
        </w:rPr>
        <w:t>Não deve ser usado em jogos de azar a dinheiro, apostas, cassinos online ou assistência em tempo real durante partidas valendo dinheiro.</w:t>
      </w:r>
    </w:p>
    <w:p>
      <w:pPr>
        <w:pStyle w:val="Heading1"/>
      </w:pPr>
      <w:r>
        <w:rPr>
          <w:color w:val="1F4E79"/>
        </w:rPr>
        <w:t>5. Conclusão e trabalhos futuros</w:t>
      </w:r>
    </w:p>
    <w:p>
      <w:pPr>
        <w:spacing w:after="120"/>
      </w:pPr>
      <w:r>
        <w:rPr>
          <w:b w:val="0"/>
          <w:i w:val="0"/>
        </w:rPr>
        <w:t>O transfer learning com EfficientNet-B0 resolve bem a tarefa in-distribution (94,7% de acurácia, F1-macro 0,947), superando com folga o baseline clássico (70,6%) e atingindo as metas do projeto. A contribuição metodológica central é a avaliação honesta de generalização: o gap OOD de ~35 pp — estável em quatro configurações de treino — mostra que o modelo aprende parcialmente o estilo do baralho, e não apenas o conceito da carta. Esse resultado, incluindo a tentativa malsucedida de reduzi-lo (Exp. 4), é declarado com transparência, sem overclaiming.</w:t>
      </w:r>
    </w:p>
    <w:p>
      <w:pPr>
        <w:spacing w:after="40"/>
      </w:pPr>
      <w:r>
        <w:rPr>
          <w:b/>
          <w:i w:val="0"/>
        </w:rPr>
        <w:t>Trabalhos futuros.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Detecção de múltiplas cartas em cena (ex.: YOLO), removendo a dependência do recorte manual.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OOD com fotos reais (gap de captura: luz, sombra, fundo, ângulo), seguindo o guia do repositório.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Inferência on-device na NPU via OpenVINO, reforçando privacidade e latência.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Evoluir a demo web com leitura em voz alta e exercícios de probabilidade.</w:t>
      </w:r>
    </w:p>
    <w:p>
      <w:pPr>
        <w:pStyle w:val="Heading1"/>
      </w:pPr>
      <w:r>
        <w:rPr>
          <w:color w:val="1F4E79"/>
        </w:rPr>
        <w:t>6. Repositório e instruções de reprodução</w:t>
      </w:r>
    </w:p>
    <w:p>
      <w:pPr>
        <w:spacing w:after="40"/>
      </w:pPr>
      <w:r>
        <w:rPr>
          <w:b w:val="0"/>
          <w:i w:val="0"/>
        </w:rPr>
        <w:t>Código-fonte, dados (instruções), modelos treinados e notebook: https://github.com/ifsc-sj-projetos-ia/classificador-de-cartas</w:t>
      </w:r>
    </w:p>
    <w:p>
      <w:pPr>
        <w:spacing w:after="80"/>
      </w:pPr>
      <w:r>
        <w:rPr>
          <w:b w:val="0"/>
          <w:i w:val="0"/>
        </w:rPr>
        <w:t>Demonstração on-line (sem instalar nada): https://herickhuggingfaceaccount-cartas.hf.space</w:t>
      </w:r>
    </w:p>
    <w:p>
      <w:pPr>
        <w:spacing w:after="40"/>
      </w:pPr>
      <w:r>
        <w:rPr>
          <w:b/>
          <w:i w:val="0"/>
        </w:rPr>
        <w:t>Passos: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git clone do repositório e pip install -r requirements.txt;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baixar o dataset gpiosenka do Kaggle para data/raw/cards/ (instruções em data/README.md);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treino: python -m src.train (ou o notebook notebooks/treino_cartas_colab.ipynb no Colab, GPU T4);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baseline: python -m src.baseline;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avaliação (gera métricas e matrizes em reports/): python -m src.evaluate;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predição em uma imagem: python -m src.predict &lt;imagem&gt;.</w:t>
      </w:r>
    </w:p>
    <w:p>
      <w:pPr>
        <w:spacing w:after="40"/>
      </w:pPr>
      <w:r>
        <w:rPr>
          <w:b w:val="0"/>
          <w:i/>
        </w:rPr>
        <w:t>Reprodutibilidade garantida por set_seed(42), split oficial fixo e checkpoint autocontido em models/efficientnet_b0_best.pt (versionado no repositório).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