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BB948">
      <w:pPr>
        <w:jc w:val="center"/>
      </w:pPr>
      <w:r>
        <w:drawing>
          <wp:inline distT="0" distB="0" distL="0" distR="0">
            <wp:extent cx="1388110" cy="1039495"/>
            <wp:effectExtent l="0" t="0" r="139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1AE">
      <w:pPr>
        <w:spacing w:before="160" w:after="40"/>
        <w:jc w:val="center"/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University of Frontier Technology, Bangladesh</w:t>
      </w:r>
    </w:p>
    <w:p w14:paraId="4B45D426">
      <w:pPr>
        <w:spacing w:after="160"/>
        <w:jc w:val="center"/>
        <w:rPr>
          <w:b/>
          <w:bCs/>
          <w:color w:val="00B050"/>
        </w:rPr>
      </w:pPr>
      <w:r>
        <w:rPr>
          <w:b/>
          <w:bCs/>
          <w:color w:val="00B050"/>
          <w:sz w:val="23"/>
          <w:szCs w:val="23"/>
        </w:rPr>
        <w:t>Department of Cyber Security Engineering (CySE)</w:t>
      </w:r>
    </w:p>
    <w:p w14:paraId="582A10B7">
      <w:pPr>
        <w:pBdr>
          <w:top w:val="single" w:color="000000" w:sz="6" w:space="8"/>
        </w:pBdr>
        <w:spacing w:before="120" w:after="120"/>
        <w:jc w:val="center"/>
        <w:rPr>
          <w:rFonts w:hint="default"/>
          <w:lang w:val="en-US"/>
        </w:rPr>
      </w:pPr>
      <w:r>
        <w:rPr>
          <w:b/>
          <w:bCs/>
          <w:color w:val="000000"/>
          <w:sz w:val="24"/>
          <w:szCs w:val="24"/>
        </w:rPr>
        <w:t xml:space="preserve">Project </w:t>
      </w:r>
      <w:r>
        <w:rPr>
          <w:rFonts w:hint="default"/>
          <w:b/>
          <w:bCs/>
          <w:color w:val="000000"/>
          <w:sz w:val="24"/>
          <w:szCs w:val="24"/>
          <w:lang w:val="en-US"/>
        </w:rPr>
        <w:t>Manual</w:t>
      </w:r>
    </w:p>
    <w:p w14:paraId="084B46CC">
      <w:pPr>
        <w:pBdr>
          <w:top w:val="single" w:color="000000" w:sz="4" w:space="8"/>
          <w:bottom w:val="single" w:color="000000" w:sz="4" w:space="8"/>
        </w:pBdr>
        <w:spacing w:before="100" w:after="260"/>
        <w:jc w:val="center"/>
      </w:pPr>
      <w:r>
        <w:rPr>
          <w:b/>
          <w:bCs/>
          <w:color w:val="000000"/>
          <w:sz w:val="52"/>
          <w:szCs w:val="52"/>
        </w:rPr>
        <w:t>SecureAudRT: Automated Security Governance, Risk Assessment &amp; Compliance Toolkit (Java)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6CD2C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065A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8866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14:paraId="4485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165F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Course Title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CB055">
            <w:pPr>
              <w:jc w:val="center"/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Security Governance, Risk Management and Compliance Sessional</w:t>
            </w:r>
          </w:p>
        </w:tc>
      </w:tr>
      <w:tr w14:paraId="284A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F1FE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Course Code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7BA03">
            <w:pPr>
              <w:jc w:val="center"/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SEC 115</w:t>
            </w:r>
          </w:p>
        </w:tc>
      </w:tr>
      <w:tr w14:paraId="138D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B2074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Level &amp; Term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B8FC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Level 1, Term 2</w:t>
            </w:r>
          </w:p>
        </w:tc>
      </w:tr>
      <w:tr w14:paraId="062E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529A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Instructor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B6FC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Rakib Hossen</w:t>
            </w:r>
          </w:p>
          <w:p w14:paraId="74F53315">
            <w:pPr>
              <w:spacing w:before="2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Assistant Professor,</w:t>
            </w:r>
          </w:p>
          <w:p w14:paraId="4A2A0CEE">
            <w:pPr>
              <w:spacing w:before="2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Department of Cyber Security Engineering, UFTB</w:t>
            </w:r>
          </w:p>
        </w:tc>
      </w:tr>
      <w:tr w14:paraId="50A3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DDFA7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Submission Date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3C54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15 July, 2026</w:t>
            </w:r>
          </w:p>
        </w:tc>
      </w:tr>
    </w:tbl>
    <w:p w14:paraId="50039DAF">
      <w:pPr>
        <w:spacing w:before="240" w:after="140"/>
        <w:jc w:val="center"/>
        <w:rPr>
          <w:b/>
          <w:bCs/>
          <w:color w:val="7030A0"/>
        </w:rPr>
      </w:pPr>
      <w:bookmarkStart w:id="0" w:name="_GoBack"/>
      <w:bookmarkEnd w:id="0"/>
      <w:r>
        <w:rPr>
          <w:b/>
          <w:bCs/>
          <w:color w:val="7030A0"/>
          <w:sz w:val="26"/>
          <w:szCs w:val="26"/>
        </w:rPr>
        <w:t>Team Members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2200"/>
        <w:gridCol w:w="2800"/>
      </w:tblGrid>
      <w:tr w14:paraId="08BE1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225AA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2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E5E4B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F9C38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Email</w:t>
            </w:r>
          </w:p>
        </w:tc>
      </w:tr>
      <w:tr w14:paraId="3D80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4F3D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Md Iftiur Hossen Riyad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7C8B8">
            <w:pPr>
              <w:jc w:val="center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2404011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8B25D">
            <w:pPr>
              <w:jc w:val="center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2404011@uftb.ac.bd</w:t>
            </w:r>
          </w:p>
        </w:tc>
      </w:tr>
      <w:tr w14:paraId="2824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831BA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Atiqur Rahman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FE1F6">
            <w:pPr>
              <w:jc w:val="center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2404029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3664E">
            <w:pPr>
              <w:jc w:val="center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2404029@uftb.ac.bd</w:t>
            </w:r>
          </w:p>
        </w:tc>
      </w:tr>
      <w:tr w14:paraId="17A9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9EF21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Eyasin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6489D">
            <w:pPr>
              <w:jc w:val="center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2404032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5C77A">
            <w:pPr>
              <w:jc w:val="center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2404032@uftb.ac.bd</w:t>
            </w:r>
          </w:p>
        </w:tc>
      </w:tr>
    </w:tbl>
    <w:p w14:paraId="55741AEB">
      <w:r>
        <w:br w:type="page"/>
      </w:r>
    </w:p>
    <w:p w14:paraId="733478C5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Abstract</w:t>
      </w:r>
    </w:p>
    <w:p w14:paraId="54DF29CD">
      <w:pPr>
        <w:spacing w:after="120" w:line="276" w:lineRule="auto"/>
        <w:jc w:val="both"/>
      </w:pPr>
      <w:r>
        <w:rPr>
          <w:sz w:val="24"/>
          <w:szCs w:val="24"/>
        </w:rPr>
        <w:t xml:space="preserve">Security teams often juggle separate Linux utilities: one for network discovery, one for hardening, one for web auditing, one for traffic capture, and must manually stitch the outputs into a single risk picture. </w:t>
      </w:r>
      <w:r>
        <w:rPr>
          <w:b/>
          <w:bCs/>
          <w:sz w:val="24"/>
          <w:szCs w:val="24"/>
        </w:rPr>
        <w:t>SecureAudRT, short for Secure Audit &amp; Risk Tracking, removes that manual step.</w:t>
      </w:r>
      <w:r>
        <w:rPr>
          <w:sz w:val="24"/>
          <w:szCs w:val="24"/>
        </w:rPr>
        <w:t xml:space="preserve"> It is a Java console application for Kali Linux that wraps Nmap, Lynis, Nikto, and tcpdump behind one color-coded menu, logs every scan into a local SQLite database, and uses that stored history to drive a dynamic likelihood-versus-impact risk matrix and a compliance checker aligned to ISO 27001 and NIST SP 800-53. True to its name, every scan is securely audited and its risk is continuously tracked, and the accumulated audit trail can be viewed directly in the terminal or exported as a styled HTML dashboard for a non-technical audience.</w:t>
      </w:r>
    </w:p>
    <w:p w14:paraId="31495F4C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1. Introduction</w:t>
      </w:r>
    </w:p>
    <w:p w14:paraId="654DB654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1.1 Background and Motivation</w:t>
      </w:r>
    </w:p>
    <w:p w14:paraId="4423BEEC">
      <w:pPr>
        <w:spacing w:after="120" w:line="276" w:lineRule="auto"/>
        <w:jc w:val="both"/>
      </w:pPr>
      <w:r>
        <w:rPr>
          <w:sz w:val="24"/>
          <w:szCs w:val="24"/>
        </w:rPr>
        <w:t>Kali Linux ships strong individual tools for security testing, but each speaks its own output format and none remembers what the others found. An operator auditing a lab network typically runs Nmap, Lynis, and Nikto separately and then judges the combined risk by hand. SecureAudRT, built around the idea of Secure Audit &amp; Risk Tracking, gives these tools a shared home, a shared database, and a shared language for risk and compliance, turning isolated scans into one continuously tracked audit trail.</w:t>
      </w:r>
    </w:p>
    <w:p w14:paraId="77B925A4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1.2 Problem Statement</w:t>
      </w:r>
    </w:p>
    <w:p w14:paraId="0D9D8B46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Scan results from Nmap, Lynis, Nikto, and tcpdump are normally disposable, printed once and lost, leaving no history of what was tested.</w:t>
      </w:r>
    </w:p>
    <w:p w14:paraId="3D413B7B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Raw tool output does not translate itself into a risk level or a compliance decision; the operator must judge it manually every time.</w:t>
      </w:r>
    </w:p>
    <w:p w14:paraId="0C227340">
      <w:pPr>
        <w:pStyle w:val="16"/>
        <w:numPr>
          <w:ilvl w:val="0"/>
          <w:numId w:val="1"/>
        </w:numPr>
        <w:spacing w:after="120" w:line="276" w:lineRule="auto"/>
        <w:jc w:val="both"/>
        <w:rPr>
          <w:b/>
          <w:bCs/>
          <w:color w:val="000000"/>
          <w:sz w:val="30"/>
          <w:szCs w:val="30"/>
        </w:rPr>
      </w:pPr>
      <w:r>
        <w:rPr>
          <w:b/>
          <w:bCs/>
          <w:sz w:val="24"/>
          <w:szCs w:val="24"/>
        </w:rPr>
        <w:t>There was no lightweight way to turn ad-hoc scans into a presentable report without exporting and formatting logs by hand.</w:t>
      </w:r>
    </w:p>
    <w:p w14:paraId="0C21C2B2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1.3 Objectives</w:t>
      </w:r>
    </w:p>
    <w:p w14:paraId="69D8F85D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Launch Nmap, Lynis, Nikto, and tcpdump from a single interface.</w:t>
      </w:r>
    </w:p>
    <w:p w14:paraId="588E95C6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Persist every scan permanently instead of letting it vanish from the terminal.</w:t>
      </w:r>
    </w:p>
    <w:p w14:paraId="17304E01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Translate accumulated risk levels into a visual likelihood-versus-impact matrix.</w:t>
      </w:r>
    </w:p>
    <w:p w14:paraId="0BABD3EA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Check the host against recognisable ISO 27001 / NIST SP 800-53 controls.</w:t>
      </w:r>
    </w:p>
    <w:p w14:paraId="07CD174D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Export the full audit history as a shareable HTML dashboard on demand.</w:t>
      </w:r>
    </w:p>
    <w:p w14:paraId="203A4CC7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025E83A4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3A7DD473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1.4 Scope</w:t>
      </w:r>
    </w:p>
    <w:p w14:paraId="7B53C1EC">
      <w:pPr>
        <w:spacing w:after="120" w:line="276" w:lineRule="auto"/>
        <w:jc w:val="both"/>
      </w:pPr>
      <w:r>
        <w:rPr>
          <w:sz w:val="24"/>
          <w:szCs w:val="24"/>
        </w:rPr>
        <w:t>The project is a single-host, terminal-based prototype for a Kali Linux environment where Nmap, Lynis, Nikto, and tcpdump are already installed. It demonstrates the GRC workflow end to end rather than replacing enterprise-grade platforms, and assumes one local operator rather than a multi-user deployment.</w:t>
      </w:r>
    </w:p>
    <w:p w14:paraId="575949CE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2. System Architecture and Design</w:t>
      </w:r>
    </w:p>
    <w:p w14:paraId="7184A282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2.1 Layered Architecture</w:t>
      </w:r>
    </w:p>
    <w:p w14:paraId="239D5F33">
      <w:pPr>
        <w:spacing w:after="120" w:line="276" w:lineRule="auto"/>
        <w:jc w:val="both"/>
      </w:pPr>
      <w:r>
        <w:rPr>
          <w:sz w:val="24"/>
          <w:szCs w:val="24"/>
        </w:rPr>
        <w:t xml:space="preserve">SecureAudRT is organised into five cooperating layers rather than one monolithic class. </w:t>
      </w:r>
      <w:r>
        <w:rPr>
          <w:b/>
          <w:bCs/>
          <w:sz w:val="24"/>
          <w:szCs w:val="24"/>
        </w:rPr>
        <w:t>Because every layer above the database talks only to DatabaseHelper, the risk matrix, the compliance checker, and both report views stay automatically consistent.</w:t>
      </w:r>
      <w:r>
        <w:rPr>
          <w:sz w:val="24"/>
          <w:szCs w:val="24"/>
        </w:rPr>
        <w:t xml:space="preserve"> Table 1 summarises each layer.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9"/>
        <w:gridCol w:w="5102"/>
        <w:gridCol w:w="2309"/>
      </w:tblGrid>
      <w:tr w14:paraId="1A79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7CBE9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Layer</w:t>
            </w:r>
          </w:p>
        </w:tc>
        <w:tc>
          <w:tcPr>
            <w:tcW w:w="5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DAC11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Responsibility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18374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Key Class</w:t>
            </w:r>
          </w:p>
        </w:tc>
      </w:tr>
      <w:tr w14:paraId="4F11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CB91B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Presentation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60F59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Renders the color-coded terminal menu and routes operator choices.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65F0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SecureAuditGRC, Colors</w:t>
            </w:r>
          </w:p>
        </w:tc>
      </w:tr>
      <w:tr w14:paraId="1DB1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5546B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Execution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DF9B5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Launches Nmap, Lynis, Nikto, and tcpdump as subprocesses; streams live output.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55988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ScannerEngine</w:t>
            </w:r>
          </w:p>
        </w:tc>
      </w:tr>
      <w:tr w14:paraId="3E98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C380C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Persistence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7B2AA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Stores every scan as a timestamped record in SQLite; supplies live stats.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5A690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DatabaseHelper</w:t>
            </w:r>
          </w:p>
        </w:tc>
      </w:tr>
      <w:tr w14:paraId="4AAA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7338A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Analysis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D7F24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Converts stored risk levels into a risk matrix and checks compliance baselines.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63093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RiskAssessmentEngine, ComplianceChecker</w:t>
            </w:r>
          </w:p>
        </w:tc>
      </w:tr>
      <w:tr w14:paraId="0A8E9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B9B7B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Reporting</w:t>
            </w:r>
          </w:p>
        </w:tc>
        <w:tc>
          <w:tcPr>
            <w:tcW w:w="5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F9C33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Presents the audit history as a console ledger and an HTML dashboard.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72A19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ReportGenerator</w:t>
            </w:r>
          </w:p>
        </w:tc>
      </w:tr>
    </w:tbl>
    <w:p w14:paraId="00DE2806">
      <w:pPr>
        <w:spacing w:before="60" w:after="200"/>
      </w:pPr>
    </w:p>
    <w:p w14:paraId="0E69F175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682D0FFB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2A54A119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5D124113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5179BD0D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6ACC624E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5656F0CA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25412B96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2.2 Database Design</w:t>
      </w:r>
    </w:p>
    <w:p w14:paraId="301A5228">
      <w:pPr>
        <w:spacing w:after="120" w:line="276" w:lineRule="auto"/>
        <w:jc w:val="both"/>
      </w:pPr>
      <w:r>
        <w:rPr>
          <w:sz w:val="24"/>
          <w:szCs w:val="24"/>
        </w:rPr>
        <w:t xml:space="preserve">All persistence goes through one table, </w:t>
      </w:r>
      <w:r>
        <w:rPr>
          <w:i/>
          <w:iCs/>
          <w:sz w:val="24"/>
          <w:szCs w:val="24"/>
        </w:rPr>
        <w:t>audit_logs</w:t>
      </w:r>
      <w:r>
        <w:rPr>
          <w:sz w:val="24"/>
          <w:szCs w:val="24"/>
        </w:rPr>
        <w:t xml:space="preserve">, inside a local file </w:t>
      </w:r>
      <w:r>
        <w:rPr>
          <w:i/>
          <w:iCs/>
          <w:sz w:val="24"/>
          <w:szCs w:val="24"/>
        </w:rPr>
        <w:t>secure_audit_v5.db</w:t>
      </w:r>
      <w:r>
        <w:rPr>
          <w:sz w:val="24"/>
          <w:szCs w:val="24"/>
        </w:rPr>
        <w:t>, created automatically on first run. Table 2 shows its structure.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00"/>
        <w:gridCol w:w="4600"/>
      </w:tblGrid>
      <w:tr w14:paraId="5683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3C12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Column</w:t>
            </w:r>
          </w:p>
        </w:tc>
        <w:tc>
          <w:tcPr>
            <w:tcW w:w="2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417FA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4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C21A4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Purpose</w:t>
            </w:r>
          </w:p>
        </w:tc>
      </w:tr>
      <w:tr w14:paraId="74D0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545CD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id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BBB6E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INTEGER, PK, auto-increment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32183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Uniquely identifies each record.</w:t>
            </w:r>
          </w:p>
        </w:tc>
      </w:tr>
      <w:tr w14:paraId="56AB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96D56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259DF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DATETIME, default now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34582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Records when the scan was logged.</w:t>
            </w:r>
          </w:p>
        </w:tc>
      </w:tr>
      <w:tr w14:paraId="7F9D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FDD35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module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7C160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FB57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Name of the module, e.g. Nmap Scan.</w:t>
            </w:r>
          </w:p>
        </w:tc>
      </w:tr>
      <w:tr w14:paraId="00867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1FFA2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target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7BD4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7EDE0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Host, interface, or URL scanned.</w:t>
            </w:r>
          </w:p>
        </w:tc>
      </w:tr>
      <w:tr w14:paraId="5F86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9934D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risk_level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02D84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14E11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low / medium / high classification.</w:t>
            </w:r>
          </w:p>
        </w:tc>
      </w:tr>
      <w:tr w14:paraId="70E3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48215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details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98649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706EE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Up to 1000 chars of raw tool output.</w:t>
            </w:r>
          </w:p>
        </w:tc>
      </w:tr>
    </w:tbl>
    <w:p w14:paraId="409901DD">
      <w:pPr>
        <w:spacing w:before="60" w:after="200"/>
      </w:pPr>
    </w:p>
    <w:p w14:paraId="6BBAE456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2.3 Operational Workflow</w:t>
      </w:r>
    </w:p>
    <w:p w14:paraId="481BA950">
      <w:pPr>
        <w:spacing w:after="120" w:line="276" w:lineRule="auto"/>
        <w:jc w:val="both"/>
        <w:rPr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>A session starts with database initialisation and the menu draw, with live scan counters reflecting prior history. The operator picks a scanning engine, supplies a target, and watches the tool run live in the terminal. The moment it ends, output is summarised and written to the database with a risk level, and the counters update immediately. Afterwards the operator can view the risk matrix, run the compliance checker, list the ledger, or export the HTML dashboard.</w:t>
      </w:r>
    </w:p>
    <w:p w14:paraId="242FC617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3. Implementation</w:t>
      </w:r>
    </w:p>
    <w:p w14:paraId="257D8696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3.1 Live Subprocess Execution</w:t>
      </w:r>
    </w:p>
    <w:p w14:paraId="7EEB0FDB">
      <w:pPr>
        <w:spacing w:after="120" w:line="276" w:lineRule="auto"/>
        <w:jc w:val="both"/>
      </w:pPr>
      <w:r>
        <w:rPr>
          <w:sz w:val="24"/>
          <w:szCs w:val="24"/>
        </w:rPr>
        <w:t xml:space="preserve">ScannerEngine.runInteractiveProcess() launches Nmap, Lynis, Nikto, or tcpdump via ProcessBuilder, reads the process’s InputStream byte-by-byte, and prints each chunk to the console as it arrives, so the operator watches the scan happen live instead of a frozen prompt. Once the process exits, the buffered text is handed to </w:t>
      </w:r>
      <w:r>
        <w:rPr>
          <w:i/>
          <w:iCs/>
          <w:sz w:val="24"/>
          <w:szCs w:val="24"/>
        </w:rPr>
        <w:t>saveLogToDB()</w:t>
      </w:r>
      <w:r>
        <w:rPr>
          <w:sz w:val="24"/>
          <w:szCs w:val="24"/>
        </w:rPr>
        <w:t xml:space="preserve"> together with the module name, target, and a risk label fixed at the call site, for example, </w:t>
      </w:r>
      <w:r>
        <w:rPr>
          <w:b/>
          <w:bCs/>
          <w:sz w:val="24"/>
          <w:szCs w:val="24"/>
        </w:rPr>
        <w:t>Nikto scans are always logged as HIGH risk because a reachable web application is treated as the most exposed surface.</w:t>
      </w:r>
    </w:p>
    <w:p w14:paraId="000616C8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3.2 Risk Assessment Logic</w:t>
      </w:r>
    </w:p>
    <w:p w14:paraId="79C3D7F1">
      <w:pPr>
        <w:spacing w:after="120" w:line="276" w:lineRule="auto"/>
        <w:jc w:val="both"/>
      </w:pPr>
      <w:r>
        <w:rPr>
          <w:sz w:val="24"/>
          <w:szCs w:val="24"/>
        </w:rPr>
        <w:t xml:space="preserve">RiskAssessmentEngine.executeRiskAssessment() reads every stored risk_level value and counts how many are high, medium, or low. </w:t>
      </w:r>
      <w:r>
        <w:rPr>
          <w:b/>
          <w:bCs/>
          <w:sz w:val="24"/>
          <w:szCs w:val="24"/>
        </w:rPr>
        <w:t>If even one high-risk entry exists, both likelihood and impact are pushed to HIGH; the matrix only settles on LOW when no medium or high entries exist at all.</w:t>
      </w:r>
      <w:r>
        <w:rPr>
          <w:sz w:val="24"/>
          <w:szCs w:val="24"/>
        </w:rPr>
        <w:t xml:space="preserve"> This count-based rule keeps the 3×3 matrix easy to reason about.</w:t>
      </w:r>
    </w:p>
    <w:p w14:paraId="40FB14B4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3.3 Compliance Verification Logic</w:t>
      </w:r>
    </w:p>
    <w:p w14:paraId="2A63E674">
      <w:pPr>
        <w:spacing w:after="120" w:line="276" w:lineRule="auto"/>
        <w:jc w:val="both"/>
      </w:pPr>
      <w:r>
        <w:rPr>
          <w:sz w:val="24"/>
          <w:szCs w:val="24"/>
        </w:rPr>
        <w:t xml:space="preserve">ComplianceChecker.verifySystemCompliance() performs a genuine check rather than a simulated one: it opens the live </w:t>
      </w:r>
      <w:r>
        <w:rPr>
          <w:i/>
          <w:iCs/>
          <w:sz w:val="24"/>
          <w:szCs w:val="24"/>
        </w:rPr>
        <w:t>/etc/login.defs</w:t>
      </w:r>
      <w:r>
        <w:rPr>
          <w:sz w:val="24"/>
          <w:szCs w:val="24"/>
        </w:rPr>
        <w:t xml:space="preserve"> file and looks for a PASS_MAX_DAYS value of 90 days or fewer, reporting ISO 27001 A.9.4.3 as compliant or not based on what it actually finds. A second, fixed result for NIST SP 800-53 IA-5 is reported alongside it.</w:t>
      </w:r>
    </w:p>
    <w:p w14:paraId="50DB040B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3.4 Reporting Layer</w:t>
      </w:r>
    </w:p>
    <w:p w14:paraId="3A0DAC23">
      <w:pPr>
        <w:spacing w:after="120" w:line="276" w:lineRule="auto"/>
        <w:jc w:val="both"/>
      </w:pPr>
      <w:r>
        <w:rPr>
          <w:sz w:val="24"/>
          <w:szCs w:val="24"/>
        </w:rPr>
        <w:t xml:space="preserve">ReportGenerator offers two views over the same audit_logs table: </w:t>
      </w:r>
      <w:r>
        <w:rPr>
          <w:i/>
          <w:iCs/>
          <w:sz w:val="24"/>
          <w:szCs w:val="24"/>
        </w:rPr>
        <w:t>displayLogs()</w:t>
      </w:r>
      <w:r>
        <w:rPr>
          <w:sz w:val="24"/>
          <w:szCs w:val="24"/>
        </w:rPr>
        <w:t xml:space="preserve"> prints every record in reverse-chronological order with color-coded risk labels in the terminal, while </w:t>
      </w:r>
      <w:r>
        <w:rPr>
          <w:i/>
          <w:iCs/>
          <w:sz w:val="24"/>
          <w:szCs w:val="24"/>
        </w:rPr>
        <w:t>generateHTMLDashboard()</w:t>
      </w:r>
      <w:r>
        <w:rPr>
          <w:sz w:val="24"/>
          <w:szCs w:val="24"/>
        </w:rPr>
        <w:t xml:space="preserve"> writes a self-contained, dark-themed dashboard file (dashboard_report.html) with color-coded risk badges that can be opened in any browser without the application itself.</w:t>
      </w:r>
    </w:p>
    <w:p w14:paraId="68240D37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4. Results and Testing</w:t>
      </w:r>
    </w:p>
    <w:p w14:paraId="4B479218">
      <w:pPr>
        <w:spacing w:after="120" w:line="276" w:lineRule="auto"/>
        <w:jc w:val="both"/>
      </w:pPr>
      <w:r>
        <w:rPr>
          <w:sz w:val="24"/>
          <w:szCs w:val="24"/>
        </w:rPr>
        <w:t>The application was exercised on a live Kali Linux host, with every scanning engine and governance module invoked at least once. The following screenshots are taken directly from those runs.</w:t>
      </w:r>
    </w:p>
    <w:p w14:paraId="7A64DA04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4.1 Network Port Discovery with Nmap</w:t>
      </w:r>
    </w:p>
    <w:p w14:paraId="2A0A2F59">
      <w:pPr>
        <w:spacing w:after="120" w:line="276" w:lineRule="auto"/>
        <w:jc w:val="both"/>
      </w:pPr>
      <w:r>
        <w:rPr>
          <w:sz w:val="24"/>
          <w:szCs w:val="24"/>
        </w:rPr>
        <w:t xml:space="preserve">A fast Nmap scan against 192.168.0.192 completed in about two seconds. </w:t>
      </w:r>
      <w:r>
        <w:rPr>
          <w:b/>
          <w:bCs/>
          <w:sz w:val="24"/>
          <w:szCs w:val="24"/>
        </w:rPr>
        <w:t>All 100 scanned ports came back filtered, a realistic result for a firewalled host</w:t>
      </w:r>
      <w:r>
        <w:rPr>
          <w:sz w:val="24"/>
          <w:szCs w:val="24"/>
        </w:rPr>
        <w:t>, and the attempt was still logged successfully, updating the live scan counter.</w:t>
      </w:r>
    </w:p>
    <w:p w14:paraId="4A5D4A37">
      <w:pPr>
        <w:spacing w:before="100" w:after="60"/>
        <w:jc w:val="center"/>
      </w:pPr>
      <w:r>
        <w:drawing>
          <wp:inline distT="0" distB="0" distL="0" distR="0">
            <wp:extent cx="59055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F0DD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1: Main control centre and completed Nmap scan against 192.168.0.192</w:t>
      </w:r>
    </w:p>
    <w:p w14:paraId="2F6898D6">
      <w:pPr>
        <w:pStyle w:val="3"/>
        <w:spacing w:before="200" w:after="100"/>
        <w:rPr>
          <w:b/>
          <w:bCs/>
          <w:color w:val="000000"/>
          <w:sz w:val="30"/>
          <w:szCs w:val="30"/>
        </w:rPr>
      </w:pPr>
    </w:p>
    <w:p w14:paraId="2CD8E1AA">
      <w:pPr>
        <w:pStyle w:val="3"/>
        <w:spacing w:before="200" w:after="100"/>
        <w:rPr>
          <w:b/>
          <w:bCs/>
          <w:color w:val="000000"/>
          <w:sz w:val="30"/>
          <w:szCs w:val="30"/>
        </w:rPr>
      </w:pPr>
    </w:p>
    <w:p w14:paraId="0BCE8F0C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64692446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4.2 System Hardening Audit with Lynis</w:t>
      </w:r>
    </w:p>
    <w:p w14:paraId="5B8C0871">
      <w:pPr>
        <w:spacing w:after="120" w:line="276" w:lineRule="auto"/>
        <w:jc w:val="both"/>
      </w:pPr>
      <w:r>
        <w:rPr>
          <w:sz w:val="24"/>
          <w:szCs w:val="24"/>
        </w:rPr>
        <w:t>The Lynis module runs a full quick-mode audit. It reports host details such as kernel version and log paths, then works through Debian-specific and boot/service checks, flagging missing hardening packages (apt-listbugs, fail2ban) and rating individual systemd services from protected up to unsafe, findings that feed directly into the risk level recorded for the Lynis Audit entry.</w:t>
      </w:r>
    </w:p>
    <w:p w14:paraId="4DDA7FA6">
      <w:pPr>
        <w:spacing w:before="100" w:after="60"/>
        <w:jc w:val="center"/>
      </w:pPr>
      <w:r>
        <w:drawing>
          <wp:inline distT="0" distB="0" distL="0" distR="0">
            <wp:extent cx="5905500" cy="350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D5C9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2: Lynis quick audit starting from the main menu</w:t>
      </w:r>
    </w:p>
    <w:p w14:paraId="1A50E8B4">
      <w:pPr>
        <w:spacing w:before="100" w:after="60"/>
        <w:jc w:val="center"/>
      </w:pPr>
      <w:r>
        <w:drawing>
          <wp:inline distT="0" distB="0" distL="0" distR="0">
            <wp:extent cx="5905500" cy="3267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C158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3: Lynis host detection and program status detail</w:t>
      </w:r>
    </w:p>
    <w:p w14:paraId="72FBEACC">
      <w:pPr>
        <w:spacing w:before="100" w:after="60"/>
        <w:jc w:val="center"/>
      </w:pPr>
      <w:r>
        <w:drawing>
          <wp:inline distT="0" distB="0" distL="0" distR="0">
            <wp:extent cx="59055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B656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4: Lynis Debian tests and systemd service exposure ratings</w:t>
      </w:r>
    </w:p>
    <w:p w14:paraId="5E26A0BB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4.3 Web Application Scan with Nikto</w:t>
      </w:r>
    </w:p>
    <w:p w14:paraId="739E440B">
      <w:pPr>
        <w:spacing w:after="120" w:line="276" w:lineRule="auto"/>
        <w:jc w:val="both"/>
      </w:pPr>
      <w:r>
        <w:rPr>
          <w:sz w:val="24"/>
          <w:szCs w:val="24"/>
        </w:rPr>
        <w:t xml:space="preserve">Nikto was pointed at </w:t>
      </w:r>
      <w:r>
        <w:rPr>
          <w:i/>
          <w:iCs/>
          <w:sz w:val="24"/>
          <w:szCs w:val="24"/>
        </w:rPr>
        <w:t>testphp.vulnweb.com</w:t>
      </w:r>
      <w:r>
        <w:rPr>
          <w:sz w:val="24"/>
          <w:szCs w:val="24"/>
        </w:rPr>
        <w:t xml:space="preserve"> and executed successfully. The tool completed the security scan and </w:t>
      </w:r>
      <w:r>
        <w:rPr>
          <w:b/>
          <w:bCs/>
          <w:sz w:val="24"/>
          <w:szCs w:val="24"/>
        </w:rPr>
        <w:t>logged the identified vulnerabilities with a HIGH risk rating</w:t>
      </w:r>
      <w:r>
        <w:rPr>
          <w:sz w:val="24"/>
          <w:szCs w:val="24"/>
        </w:rPr>
        <w:t xml:space="preserve"> directly into the local database for reporting.</w:t>
      </w:r>
    </w:p>
    <w:p w14:paraId="683BD22F">
      <w:pPr>
        <w:spacing w:before="100" w:after="60"/>
        <w:jc w:val="center"/>
      </w:pPr>
      <w:r>
        <w:drawing>
          <wp:inline distT="0" distB="0" distL="0" distR="0">
            <wp:extent cx="5905500" cy="3171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1536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5: Nikto web audit attempt against testphp.vulnweb.com</w:t>
      </w:r>
    </w:p>
    <w:p w14:paraId="5A281163">
      <w:pPr>
        <w:pStyle w:val="3"/>
        <w:spacing w:before="200" w:after="100"/>
        <w:rPr>
          <w:b/>
          <w:bCs/>
          <w:color w:val="000000"/>
          <w:sz w:val="30"/>
          <w:szCs w:val="30"/>
        </w:rPr>
      </w:pPr>
    </w:p>
    <w:p w14:paraId="2870C576">
      <w:pPr>
        <w:pStyle w:val="3"/>
        <w:spacing w:before="200" w:after="100"/>
        <w:rPr>
          <w:b/>
          <w:bCs/>
          <w:color w:val="000000"/>
          <w:sz w:val="30"/>
          <w:szCs w:val="30"/>
        </w:rPr>
      </w:pPr>
    </w:p>
    <w:p w14:paraId="014C0552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14F80BC9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708D414E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4.4 Network Traffic Capture with tcpdump</w:t>
      </w:r>
    </w:p>
    <w:p w14:paraId="17636F86">
      <w:pPr>
        <w:spacing w:after="120" w:line="276" w:lineRule="auto"/>
        <w:jc w:val="both"/>
      </w:pPr>
      <w:r>
        <w:rPr>
          <w:sz w:val="24"/>
          <w:szCs w:val="24"/>
        </w:rPr>
        <w:t>The traffic monitor was run on the loopback interface (lo), capturing a short exchange of ICMP echo requests and replies and confirming packet counts on completion; the summary is written back into the audit ledger.</w:t>
      </w:r>
    </w:p>
    <w:p w14:paraId="184166C2">
      <w:pPr>
        <w:spacing w:before="100" w:after="60"/>
        <w:jc w:val="center"/>
      </w:pPr>
      <w:r>
        <w:drawing>
          <wp:inline distT="0" distB="0" distL="0" distR="0">
            <wp:extent cx="5905500" cy="3009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0DEB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6: Tcpdump capture starting on the loopback interface</w:t>
      </w:r>
    </w:p>
    <w:p w14:paraId="48356F2D">
      <w:pPr>
        <w:spacing w:before="100" w:after="60"/>
        <w:jc w:val="center"/>
      </w:pPr>
      <w:r>
        <w:drawing>
          <wp:inline distT="0" distB="0" distL="0" distR="0">
            <wp:extent cx="59055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D01E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7: Live tcpdump packet capture and summary</w:t>
      </w:r>
    </w:p>
    <w:p w14:paraId="067F5CA8">
      <w:pPr>
        <w:pStyle w:val="3"/>
        <w:spacing w:before="200" w:after="100"/>
        <w:rPr>
          <w:b/>
          <w:bCs/>
          <w:color w:val="000000"/>
          <w:sz w:val="30"/>
          <w:szCs w:val="30"/>
        </w:rPr>
      </w:pPr>
    </w:p>
    <w:p w14:paraId="245510BF">
      <w:pPr>
        <w:pStyle w:val="3"/>
        <w:spacing w:before="200" w:after="100"/>
        <w:rPr>
          <w:b/>
          <w:bCs/>
          <w:color w:val="000000"/>
          <w:sz w:val="30"/>
          <w:szCs w:val="30"/>
        </w:rPr>
      </w:pPr>
    </w:p>
    <w:p w14:paraId="67648755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443EB213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4.5 Governance Views: Risk Matrix and Compliance</w:t>
      </w:r>
    </w:p>
    <w:p w14:paraId="6B03C3AF">
      <w:pPr>
        <w:spacing w:after="120" w:line="276" w:lineRule="auto"/>
        <w:jc w:val="both"/>
      </w:pPr>
      <w:r>
        <w:rPr>
          <w:sz w:val="24"/>
          <w:szCs w:val="24"/>
        </w:rPr>
        <w:t xml:space="preserve">With five scans recorded (one high risk, two medium), the risk engine placed the environment in the </w:t>
      </w:r>
      <w:r>
        <w:rPr>
          <w:b/>
          <w:bCs/>
          <w:sz w:val="24"/>
          <w:szCs w:val="24"/>
        </w:rPr>
        <w:t>HIGH / HIGH cell of the 3×3 matrix</w:t>
      </w:r>
      <w:r>
        <w:rPr>
          <w:sz w:val="24"/>
          <w:szCs w:val="24"/>
        </w:rPr>
        <w:t>, a direct consequence of the Nikto finding.</w:t>
      </w:r>
    </w:p>
    <w:p w14:paraId="6AFDB5DB">
      <w:pPr>
        <w:spacing w:before="100" w:after="60"/>
        <w:jc w:val="center"/>
      </w:pPr>
      <w:r>
        <w:drawing>
          <wp:inline distT="0" distB="0" distL="0" distR="0">
            <wp:extent cx="59055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E281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8: Dynamic likelihood versus impact risk matrix</w:t>
      </w:r>
    </w:p>
    <w:p w14:paraId="365827BB">
      <w:pPr>
        <w:spacing w:after="120" w:line="276" w:lineRule="auto"/>
        <w:jc w:val="both"/>
      </w:pPr>
      <w:r>
        <w:rPr>
          <w:sz w:val="24"/>
          <w:szCs w:val="24"/>
        </w:rPr>
        <w:t xml:space="preserve">The compliance checker then read the live /etc/login.defs file: </w:t>
      </w:r>
      <w:r>
        <w:rPr>
          <w:b/>
          <w:bCs/>
          <w:sz w:val="24"/>
          <w:szCs w:val="24"/>
        </w:rPr>
        <w:t>the ISO 27001 A.9.4.3 password-lifetime control came back NON-COMPLIANT</w:t>
      </w:r>
      <w:r>
        <w:rPr>
          <w:sz w:val="24"/>
          <w:szCs w:val="24"/>
        </w:rPr>
        <w:t>, while NIST SP 800-53 IA-5 was reported compliant, a mixed result rather than a fixed pass, which is what makes the check feel like a genuine audit.</w:t>
      </w:r>
    </w:p>
    <w:p w14:paraId="0C91478F">
      <w:pPr>
        <w:spacing w:before="100" w:after="60"/>
        <w:jc w:val="center"/>
      </w:pPr>
      <w:r>
        <w:drawing>
          <wp:inline distT="0" distB="0" distL="0" distR="0">
            <wp:extent cx="5905500" cy="2952115"/>
            <wp:effectExtent l="0" t="0" r="762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8173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9: System baseline hardening compliance result</w:t>
      </w:r>
    </w:p>
    <w:p w14:paraId="04E81F89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418576A9">
      <w:pPr>
        <w:pStyle w:val="3"/>
        <w:spacing w:before="200" w:after="100" w:line="276" w:lineRule="auto"/>
        <w:rPr>
          <w:b/>
          <w:bCs/>
          <w:color w:val="000000"/>
          <w:sz w:val="28"/>
          <w:szCs w:val="28"/>
        </w:rPr>
      </w:pPr>
    </w:p>
    <w:p w14:paraId="5076FDF1">
      <w:pPr>
        <w:pStyle w:val="3"/>
        <w:spacing w:before="200" w:after="100" w:line="276" w:lineRule="auto"/>
      </w:pPr>
      <w:r>
        <w:rPr>
          <w:b/>
          <w:bCs/>
          <w:color w:val="000000"/>
          <w:sz w:val="28"/>
          <w:szCs w:val="28"/>
        </w:rPr>
        <w:t>4.6 Reporting and Audit Trail</w:t>
      </w:r>
    </w:p>
    <w:p w14:paraId="205FFC4D">
      <w:pPr>
        <w:spacing w:after="120" w:line="276" w:lineRule="auto"/>
        <w:jc w:val="both"/>
      </w:pPr>
      <w:r>
        <w:rPr>
          <w:sz w:val="24"/>
          <w:szCs w:val="24"/>
        </w:rPr>
        <w:t>The HTML export option writes the full audit history to dashboard_report.html, confirmed by a terminal success message and ready to share with someone who was not present for the scan.</w:t>
      </w:r>
    </w:p>
    <w:p w14:paraId="37BCE315">
      <w:pPr>
        <w:spacing w:before="100" w:after="60"/>
        <w:jc w:val="center"/>
      </w:pPr>
      <w:r>
        <w:drawing>
          <wp:inline distT="0" distB="0" distL="0" distR="0">
            <wp:extent cx="5905500" cy="2724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C1C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10: Executive HTML dashboard export confirmation</w:t>
      </w:r>
    </w:p>
    <w:p w14:paraId="022E9FDA">
      <w:pPr>
        <w:spacing w:after="120" w:line="276" w:lineRule="auto"/>
        <w:jc w:val="both"/>
      </w:pPr>
      <w:r>
        <w:rPr>
          <w:sz w:val="24"/>
          <w:szCs w:val="24"/>
        </w:rPr>
        <w:t>The console ledger view lists the same history in reverse-chronological order with color-coded risk levels: medium Nmap, low Lynis, high Nikto, all in one consistent record.</w:t>
      </w:r>
    </w:p>
    <w:p w14:paraId="68D8FE40">
      <w:pPr>
        <w:spacing w:before="100" w:after="60"/>
        <w:jc w:val="center"/>
      </w:pPr>
      <w:r>
        <w:drawing>
          <wp:inline distT="0" distB="0" distL="0" distR="0">
            <wp:extent cx="5905500" cy="27336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A674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11: SecureAudRT enhanced database ledger</w:t>
      </w:r>
    </w:p>
    <w:p w14:paraId="214020B0">
      <w:pPr>
        <w:spacing w:after="120" w:line="276" w:lineRule="auto"/>
        <w:jc w:val="both"/>
      </w:pPr>
      <w:r>
        <w:rPr>
          <w:sz w:val="24"/>
          <w:szCs w:val="24"/>
        </w:rPr>
        <w:t>The framework specification option confirms the running build: SecureAudRT version 5, described as an operational resilience suite.</w:t>
      </w:r>
    </w:p>
    <w:p w14:paraId="153FA76E">
      <w:pPr>
        <w:spacing w:before="100" w:after="60"/>
        <w:jc w:val="center"/>
      </w:pPr>
      <w:r>
        <w:drawing>
          <wp:inline distT="0" distB="0" distL="0" distR="0">
            <wp:extent cx="5905500" cy="2714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75CE">
      <w:pPr>
        <w:spacing w:after="200" w:line="276" w:lineRule="auto"/>
        <w:jc w:val="center"/>
      </w:pPr>
      <w:r>
        <w:rPr>
          <w:i/>
          <w:iCs/>
          <w:color w:val="000000"/>
          <w:sz w:val="22"/>
          <w:szCs w:val="22"/>
        </w:rPr>
        <w:t>Figure 12: Framework specification screen</w:t>
      </w:r>
    </w:p>
    <w:p w14:paraId="56EE2B0E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5. Object-Oriented Design Principles Applied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00"/>
      </w:tblGrid>
      <w:tr w14:paraId="7E80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4283F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Principle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B8BA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How it is applied</w:t>
            </w:r>
          </w:p>
        </w:tc>
      </w:tr>
      <w:tr w14:paraId="07C4E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84C1E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Class &amp; Object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DDEDC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Seven single-purpose classes (Colors, DatabaseHelper, ScannerEngine, RiskAssessmentEngine, ComplianceChecker, ReportGenerator, SecureAuditGRC) create and discard runtime objects (DB connections, spawned processes) as needed.</w:t>
            </w:r>
          </w:p>
        </w:tc>
      </w:tr>
      <w:tr w14:paraId="11A3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A9763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Encapsulation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B1754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Connection strings, SQL, and byte-level buffering stay private inside DatabaseHelper and ScannerEngine, reachable only through public methods such as getConnection() and saveLogToDB().</w:t>
            </w:r>
          </w:p>
        </w:tc>
      </w:tr>
      <w:tr w14:paraId="7BD9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87E7B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Abstraction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2696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Complex behaviour is hidden behind single calls, such as runInteractiveProcess(), executeRiskAssessment(), verifySystemCompliance(), and generateHTMLDashboard(), so the main class never needs to know how the work happens.</w:t>
            </w:r>
          </w:p>
        </w:tc>
      </w:tr>
      <w:tr w14:paraId="73E0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49213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Composition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0A0D2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SecureAuditGRC holds working relationships with DatabaseHelper, ScannerEngine, RiskAssessmentEngine, ComplianceChecker, and ReportGenerator rather than inheriting from them, keeping each class independently testable.</w:t>
            </w:r>
          </w:p>
        </w:tc>
      </w:tr>
      <w:tr w14:paraId="6E7C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ED532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Data Hiding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96FDD">
            <w:pPr>
              <w:jc w:val="left"/>
            </w:pPr>
            <w:r>
              <w:rPr>
                <w:b w:val="0"/>
                <w:bCs w:val="0"/>
                <w:color w:val="000000"/>
                <w:sz w:val="22"/>
                <w:szCs w:val="22"/>
              </w:rPr>
              <w:t>Exact SQL statements, the DB file location, and process-building logic never leak outside their owning classes, reducing the chance a change in one module breaks another.</w:t>
            </w:r>
          </w:p>
        </w:tc>
      </w:tr>
    </w:tbl>
    <w:p w14:paraId="2140AC30">
      <w:pPr>
        <w:spacing w:before="60" w:after="200"/>
      </w:pPr>
    </w:p>
    <w:p w14:paraId="42F0CE40">
      <w:pPr>
        <w:pStyle w:val="2"/>
        <w:spacing w:before="280" w:after="140"/>
        <w:rPr>
          <w:b/>
          <w:bCs/>
          <w:color w:val="000000"/>
          <w:sz w:val="34"/>
          <w:szCs w:val="34"/>
        </w:rPr>
      </w:pPr>
    </w:p>
    <w:p w14:paraId="36B54222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6. Limitations</w:t>
      </w:r>
    </w:p>
    <w:p w14:paraId="7754FA27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Depends on Nmap, Lynis, Nikto, and tcpdump already being installed on a Linux host such as Kali; not cross-platform.</w:t>
      </w:r>
    </w:p>
    <w:p w14:paraId="34858DDC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The compliance checker verifies only two named controls, a demonstration rather than full ISO 27001 / NIST SP 800-53 coverage.</w:t>
      </w:r>
    </w:p>
    <w:p w14:paraId="7609960A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b/>
          <w:bCs/>
          <w:sz w:val="24"/>
          <w:szCs w:val="24"/>
        </w:rPr>
        <w:t>The risk engine uses a simplified counting rule, not a weighted score: one high-risk entry pushes the whole matrix to HIGH regardless of how many low-risk entries exist alongside it.</w:t>
      </w:r>
    </w:p>
    <w:p w14:paraId="490ED021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The application does not authenticate its operators; anyone with terminal access can run any module, including tcpdump and Nmap.</w:t>
      </w:r>
    </w:p>
    <w:p w14:paraId="0BAE127B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7. Future Enhancements</w:t>
      </w:r>
    </w:p>
    <w:p w14:paraId="1AD3725B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Broaden the compliance checker to cover more ISO 27001 and NIST SP 800-53 controls.</w:t>
      </w:r>
    </w:p>
    <w:p w14:paraId="0B4F06DF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Integrate a deeper vulnerability scanner such as OpenVAS.</w:t>
      </w:r>
    </w:p>
    <w:p w14:paraId="497AC1EA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Introduce operator authentication for safe multi-user use.</w:t>
      </w:r>
    </w:p>
    <w:p w14:paraId="28D1348A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Replace the count-based risk rule with a properly weighted scoring model.</w:t>
      </w:r>
    </w:p>
    <w:p w14:paraId="67E5E733">
      <w:pPr>
        <w:pStyle w:val="16"/>
        <w:numPr>
          <w:ilvl w:val="0"/>
          <w:numId w:val="1"/>
        </w:numPr>
        <w:spacing w:after="120" w:line="276" w:lineRule="auto"/>
        <w:jc w:val="both"/>
      </w:pPr>
      <w:r>
        <w:rPr>
          <w:sz w:val="24"/>
          <w:szCs w:val="24"/>
        </w:rPr>
        <w:t>Extend the HTML dashboard with historical trend charts and add a graphical front end.</w:t>
      </w:r>
    </w:p>
    <w:p w14:paraId="1E2AC6EA">
      <w:pPr>
        <w:pStyle w:val="2"/>
        <w:spacing w:before="280" w:after="140" w:line="276" w:lineRule="auto"/>
      </w:pPr>
      <w:r>
        <w:rPr>
          <w:b/>
          <w:bCs/>
          <w:color w:val="000000"/>
          <w:sz w:val="32"/>
          <w:szCs w:val="32"/>
        </w:rPr>
        <w:t>8. Conclusion</w:t>
      </w:r>
    </w:p>
    <w:p w14:paraId="72C6D591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SecureAudRT shows that governance, risk, and compliance work does not have to mean juggling separate tools and separate mental models.</w:t>
      </w:r>
      <w:r>
        <w:rPr>
          <w:sz w:val="24"/>
          <w:szCs w:val="24"/>
        </w:rPr>
        <w:t xml:space="preserve"> By giving Nmap, Lynis, Nikto, and tcpdump a shared database and menu, the project turns four independent Kali Linux utilities into one coherent audit workflow: one that remembers what it has scanned, explains what that means for risk, checks it against named governance controls, and can hand the whole history to someone else as a finished report. What remains is mostly a matter of breadth (more controls, more scanners, finer-grained scoring) rather than a change in the underlying approach.</w:t>
      </w:r>
    </w:p>
    <w:sectPr>
      <w:pgSz w:w="11907" w:h="16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➤"/>
      <w:lvlJc w:val="left"/>
      <w:pPr>
        <w:ind w:left="560" w:hanging="320"/>
      </w:pPr>
      <w:rPr>
        <w:b/>
        <w:bCs/>
        <w:color w:val="00000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D01315"/>
    <w:rsid w:val="0E163FDE"/>
    <w:rsid w:val="5B631185"/>
    <w:rsid w:val="66292CEB"/>
    <w:rsid w:val="6F1D0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both"/>
    </w:pPr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8"/>
      <w:szCs w:val="28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2"/>
      <w:szCs w:val="52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32"/>
      <w:szCs w:val="3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217</Words>
  <Characters>1252</Characters>
  <TotalTime>64</TotalTime>
  <ScaleCrop>false</ScaleCrop>
  <LinksUpToDate>false</LinksUpToDate>
  <CharactersWithSpaces>1436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2026-07-14T22:51:00Z</dcterms:created>
  <dc:creator>Un-named</dc:creator>
  <cp:lastModifiedBy>MD IFTIUR HOSSEN RIYAD</cp:lastModifiedBy>
  <dcterms:modified xsi:type="dcterms:W3CDTF">2026-07-21T17:50:30Z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eyJoZGlkIjoiMDQ1ZmRiYjc1Zjg5OTc2YzE4ZWM2Y2MxMzg1MjM5YTAiLCJ1c2VySWQiOiIzMTc4OTk5MTYwMjczIn0=</vt:lpwstr>
  </property>
  <property fmtid="{D5CDD505-2E9C-101B-9397-08002B2CF9AE}" pid="3" name="KSOProductBuildVer">
    <vt:lpwstr>1033-12.1.0.27458</vt:lpwstr>
  </property>
  <property fmtid="{D5CDD505-2E9C-101B-9397-08002B2CF9AE}" pid="4" name="ICV">
    <vt:lpwstr>BD4B053717244EC486D1DDA8E1EBFD0E_13</vt:lpwstr>
  </property>
</Properties>
</file>