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Final Robustness Report Revision Table</w:t>
      </w:r>
    </w:p>
    <w:p>
      <w:pPr>
        <w:jc w:val="center"/>
      </w:pPr>
      <w:r>
        <w:rPr>
          <w:i/>
          <w:color w:val="53637D"/>
        </w:rPr>
        <w:t>Formal baseline run 6905e84b-9e16-4106-8c0f-cd9ecce56728 | Final report wording</w:t>
      </w:r>
    </w:p>
    <w:p>
      <w:pPr>
        <w:spacing w:after="80"/>
      </w:pPr>
      <w:r>
        <w:rPr>
          <w:b/>
          <w:color w:val="1F3A5F"/>
        </w:rPr>
        <w:t>Purpose:</w:t>
      </w:r>
      <w:r>
        <w:t xml:space="preserve"> This table gives the old report values, the formal-run values, and the exact final wording to use in the report body.</w:t>
      </w:r>
    </w:p>
    <w:p>
      <w:pPr>
        <w:spacing w:after="80"/>
      </w:pPr>
      <w:r>
        <w:rPr>
          <w:b/>
          <w:color w:val="1F3A5F"/>
        </w:rPr>
        <w:t>Scope:</w:t>
      </w:r>
      <w:r>
        <w:t xml:space="preserve"> The values are from the formal slim baseline and the completed Part 1 to Part 5 robustness outputs. The strategy cadence is quarterly target generation and quarterly execution, with monthly holding-period performance records.</w:t>
      </w:r>
    </w:p>
    <w:p>
      <w:pPr>
        <w:pStyle w:val="Heading1"/>
      </w:pPr>
      <w:r>
        <w:t>Baseline and Cadence</w:t>
      </w:r>
    </w:p>
    <w:tbl>
      <w:tblPr>
        <w:tblStyle w:val="RevisionTable"/>
        <w:tblW w:type="auto" w:w="0"/>
        <w:jc w:val="center"/>
        <w:tblLook w:firstColumn="1" w:firstRow="1" w:lastColumn="0" w:lastRow="0" w:noHBand="0" w:noVBand="1" w:val="04A0"/>
      </w:tblPr>
      <w:tblGrid>
        <w:gridCol w:w="3855"/>
        <w:gridCol w:w="3855"/>
        <w:gridCol w:w="3855"/>
        <w:gridCol w:w="3855"/>
      </w:tblGrid>
      <w:tr>
        <w:tc>
          <w:tcPr>
            <w:tcW w:type="dxa" w:w="2324"/>
            <w:shd w:fill="1F3A5F"/>
            <w:vAlign w:val="center"/>
          </w:tcPr>
          <w:p>
            <w:pPr>
              <w:spacing w:after="0" w:line="245" w:lineRule="auto"/>
            </w:pPr>
            <w:r/>
            <w:r>
              <w:rPr>
                <w:b/>
                <w:color w:val="FFFFFF"/>
                <w:sz w:val="17"/>
              </w:rPr>
              <w:t>Report item</w:t>
            </w:r>
          </w:p>
        </w:tc>
        <w:tc>
          <w:tcPr>
            <w:tcW w:type="dxa" w:w="4365"/>
            <w:shd w:fill="1F3A5F"/>
            <w:vAlign w:val="center"/>
          </w:tcPr>
          <w:p>
            <w:pPr>
              <w:spacing w:after="0" w:line="245" w:lineRule="auto"/>
            </w:pPr>
            <w:r/>
            <w:r>
              <w:rPr>
                <w:b/>
                <w:color w:val="FFFFFF"/>
                <w:sz w:val="17"/>
              </w:rPr>
              <w:t>Previous report value / claim</w:t>
            </w:r>
          </w:p>
        </w:tc>
        <w:tc>
          <w:tcPr>
            <w:tcW w:type="dxa" w:w="4365"/>
            <w:shd w:fill="1F3A5F"/>
            <w:vAlign w:val="center"/>
          </w:tcPr>
          <w:p>
            <w:pPr>
              <w:spacing w:after="0" w:line="245" w:lineRule="auto"/>
            </w:pPr>
            <w:r/>
            <w:r>
              <w:rPr>
                <w:b/>
                <w:color w:val="FFFFFF"/>
                <w:sz w:val="17"/>
              </w:rPr>
              <w:t>Formal latest value</w:t>
            </w:r>
          </w:p>
        </w:tc>
        <w:tc>
          <w:tcPr>
            <w:tcW w:type="dxa" w:w="4535"/>
            <w:shd w:fill="1F3A5F"/>
            <w:vAlign w:val="center"/>
          </w:tcPr>
          <w:p>
            <w:pPr>
              <w:spacing w:after="0" w:line="245" w:lineRule="auto"/>
            </w:pPr>
            <w:r/>
            <w:r>
              <w:rPr>
                <w:b/>
                <w:color w:val="FFFFFF"/>
                <w:sz w:val="17"/>
              </w:rPr>
              <w:t>Final body wording to use</w:t>
            </w:r>
          </w:p>
        </w:tc>
      </w:tr>
      <w:tr>
        <w:tc>
          <w:tcPr>
            <w:tcW w:type="dxa" w:w="2324"/>
            <w:vAlign w:val="center"/>
            <w:shd w:fill="EEF3FA"/>
          </w:tcPr>
          <w:p>
            <w:pPr>
              <w:spacing w:after="0" w:line="245" w:lineRule="auto"/>
            </w:pPr>
            <w:r/>
            <w:r>
              <w:rPr>
                <w:b w:val="0"/>
                <w:sz w:val="16"/>
              </w:rPr>
              <w:t>Baseline result</w:t>
            </w:r>
          </w:p>
        </w:tc>
        <w:tc>
          <w:tcPr>
            <w:tcW w:type="dxa" w:w="4365"/>
            <w:vAlign w:val="center"/>
          </w:tcPr>
          <w:p>
            <w:pPr>
              <w:spacing w:after="0" w:line="245" w:lineRule="auto"/>
            </w:pPr>
            <w:r/>
            <w:r>
              <w:rPr>
                <w:b w:val="0"/>
                <w:sz w:val="16"/>
              </w:rPr>
              <w:t>Old value: total return 87.16%, annualized return about 13.52%-13.60%, Sharpe about 0.817-0.828, max drawdown about 15.79%-16.45%, excess vs Universe EW about 3.95%. Old wording presented a strong risk-adjusted outperformance case.</w:t>
            </w:r>
          </w:p>
        </w:tc>
        <w:tc>
          <w:tcPr>
            <w:tcW w:type="dxa" w:w="4365"/>
            <w:vAlign w:val="center"/>
          </w:tcPr>
          <w:p>
            <w:pPr>
              <w:spacing w:after="0" w:line="245" w:lineRule="auto"/>
            </w:pPr>
            <w:r/>
            <w:r>
              <w:rPr>
                <w:b w:val="0"/>
                <w:sz w:val="16"/>
              </w:rPr>
              <w:t>Formal value: total return 74.12%; annualized return 11.94%; Sharpe 0.582; IR 0.126; max drawdown 17.13%; excess vs Universe EW 2.58%; excess vs static baseline 4.32%.</w:t>
            </w:r>
          </w:p>
        </w:tc>
        <w:tc>
          <w:tcPr>
            <w:tcW w:type="dxa" w:w="4535"/>
            <w:vAlign w:val="center"/>
          </w:tcPr>
          <w:p>
            <w:pPr>
              <w:spacing w:after="0" w:line="245" w:lineRule="auto"/>
            </w:pPr>
            <w:r/>
            <w:r>
              <w:rPr>
                <w:b w:val="0"/>
                <w:sz w:val="16"/>
              </w:rPr>
              <w:t>Final wording: The formal strategy delivers a 74.12% total return and an 11.94% annualized return over the test window. It remains ahead of the internal equal-weight benchmark and the static baseline, but the risk profile is equity-like, with a 0.582 Sharpe ratio and a 17.13% maximum drawdown.</w:t>
            </w:r>
          </w:p>
        </w:tc>
      </w:tr>
      <w:tr>
        <w:tc>
          <w:tcPr>
            <w:tcW w:type="dxa" w:w="2324"/>
            <w:vAlign w:val="center"/>
            <w:shd w:fill="EEF3FA"/>
          </w:tcPr>
          <w:p>
            <w:pPr>
              <w:spacing w:after="0" w:line="245" w:lineRule="auto"/>
            </w:pPr>
            <w:r/>
            <w:r>
              <w:rPr>
                <w:b w:val="0"/>
                <w:sz w:val="16"/>
              </w:rPr>
              <w:t>Rebalance and measurement cadence</w:t>
            </w:r>
          </w:p>
        </w:tc>
        <w:tc>
          <w:tcPr>
            <w:tcW w:type="dxa" w:w="4365"/>
            <w:vAlign w:val="center"/>
            <w:shd w:fill="FAFBFD"/>
          </w:tcPr>
          <w:p>
            <w:pPr>
              <w:spacing w:after="0" w:line="245" w:lineRule="auto"/>
            </w:pPr>
            <w:r/>
            <w:r>
              <w:rPr>
                <w:b w:val="0"/>
                <w:sz w:val="16"/>
              </w:rPr>
              <w:t>Old wording was easy to read as monthly rebalancing because monthly performance rows and monthly turnover are reported.</w:t>
            </w:r>
          </w:p>
        </w:tc>
        <w:tc>
          <w:tcPr>
            <w:tcW w:type="dxa" w:w="4365"/>
            <w:vAlign w:val="center"/>
            <w:shd w:fill="FAFBFD"/>
          </w:tcPr>
          <w:p>
            <w:pPr>
              <w:spacing w:after="0" w:line="245" w:lineRule="auto"/>
            </w:pPr>
            <w:r/>
            <w:r>
              <w:rPr>
                <w:b w:val="0"/>
                <w:sz w:val="16"/>
              </w:rPr>
              <w:t>Formal value: target weights are generated quarterly; actual rebalancing is quarterly with a one-day execution lag; performance, NAV, drawdown, Sharpe, IR, and turnover are measured monthly.</w:t>
            </w:r>
          </w:p>
        </w:tc>
        <w:tc>
          <w:tcPr>
            <w:tcW w:type="dxa" w:w="4535"/>
            <w:vAlign w:val="center"/>
            <w:shd w:fill="FAFBFD"/>
          </w:tcPr>
          <w:p>
            <w:pPr>
              <w:spacing w:after="0" w:line="245" w:lineRule="auto"/>
            </w:pPr>
            <w:r/>
            <w:r>
              <w:rPr>
                <w:b w:val="0"/>
                <w:sz w:val="16"/>
              </w:rPr>
              <w:t>Final wording: The strategy generates target weights quarterly and executes quarterly rebalances with a one-day lag. Monthly rows are holding-period performance records used for return, risk, drawdown, and turnover measurement; they are not monthly portfolio re-optimisations.</w:t>
            </w:r>
          </w:p>
        </w:tc>
      </w:tr>
    </w:tbl>
    <w:p/>
    <w:p>
      <w:r>
        <w:br w:type="page"/>
      </w:r>
    </w:p>
    <w:p>
      <w:pPr>
        <w:pStyle w:val="Heading1"/>
      </w:pPr>
      <w:r>
        <w:t>Part 1 Deterministic Sensitivity</w:t>
      </w:r>
    </w:p>
    <w:tbl>
      <w:tblPr>
        <w:tblStyle w:val="RevisionTable"/>
        <w:tblW w:type="auto" w:w="0"/>
        <w:jc w:val="center"/>
        <w:tblLook w:firstColumn="1" w:firstRow="1" w:lastColumn="0" w:lastRow="0" w:noHBand="0" w:noVBand="1" w:val="04A0"/>
      </w:tblPr>
      <w:tblGrid>
        <w:gridCol w:w="3855"/>
        <w:gridCol w:w="3855"/>
        <w:gridCol w:w="3855"/>
        <w:gridCol w:w="3855"/>
      </w:tblGrid>
      <w:tr>
        <w:tc>
          <w:tcPr>
            <w:tcW w:type="dxa" w:w="2324"/>
            <w:shd w:fill="1F3A5F"/>
            <w:vAlign w:val="center"/>
          </w:tcPr>
          <w:p>
            <w:pPr>
              <w:spacing w:after="0" w:line="245" w:lineRule="auto"/>
            </w:pPr>
            <w:r/>
            <w:r>
              <w:rPr>
                <w:b/>
                <w:color w:val="FFFFFF"/>
                <w:sz w:val="17"/>
              </w:rPr>
              <w:t>Report item</w:t>
            </w:r>
          </w:p>
        </w:tc>
        <w:tc>
          <w:tcPr>
            <w:tcW w:type="dxa" w:w="4365"/>
            <w:shd w:fill="1F3A5F"/>
            <w:vAlign w:val="center"/>
          </w:tcPr>
          <w:p>
            <w:pPr>
              <w:spacing w:after="0" w:line="245" w:lineRule="auto"/>
            </w:pPr>
            <w:r/>
            <w:r>
              <w:rPr>
                <w:b/>
                <w:color w:val="FFFFFF"/>
                <w:sz w:val="17"/>
              </w:rPr>
              <w:t>Previous report value / claim</w:t>
            </w:r>
          </w:p>
        </w:tc>
        <w:tc>
          <w:tcPr>
            <w:tcW w:type="dxa" w:w="4365"/>
            <w:shd w:fill="1F3A5F"/>
            <w:vAlign w:val="center"/>
          </w:tcPr>
          <w:p>
            <w:pPr>
              <w:spacing w:after="0" w:line="245" w:lineRule="auto"/>
            </w:pPr>
            <w:r/>
            <w:r>
              <w:rPr>
                <w:b/>
                <w:color w:val="FFFFFF"/>
                <w:sz w:val="17"/>
              </w:rPr>
              <w:t>Formal latest value</w:t>
            </w:r>
          </w:p>
        </w:tc>
        <w:tc>
          <w:tcPr>
            <w:tcW w:type="dxa" w:w="4535"/>
            <w:shd w:fill="1F3A5F"/>
            <w:vAlign w:val="center"/>
          </w:tcPr>
          <w:p>
            <w:pPr>
              <w:spacing w:after="0" w:line="245" w:lineRule="auto"/>
            </w:pPr>
            <w:r/>
            <w:r>
              <w:rPr>
                <w:b/>
                <w:color w:val="FFFFFF"/>
                <w:sz w:val="17"/>
              </w:rPr>
              <w:t>Final body wording to use</w:t>
            </w:r>
          </w:p>
        </w:tc>
      </w:tr>
      <w:tr>
        <w:tc>
          <w:tcPr>
            <w:tcW w:type="dxa" w:w="2324"/>
            <w:vAlign w:val="center"/>
            <w:shd w:fill="EEF3FA"/>
          </w:tcPr>
          <w:p>
            <w:pPr>
              <w:spacing w:after="0" w:line="245" w:lineRule="auto"/>
            </w:pPr>
            <w:r/>
            <w:r>
              <w:rPr>
                <w:b w:val="0"/>
                <w:sz w:val="16"/>
              </w:rPr>
              <w:t>Test 1 Transaction cost sensitivity</w:t>
            </w:r>
          </w:p>
        </w:tc>
        <w:tc>
          <w:tcPr>
            <w:tcW w:type="dxa" w:w="4365"/>
            <w:vAlign w:val="center"/>
          </w:tcPr>
          <w:p>
            <w:pPr>
              <w:spacing w:after="0" w:line="245" w:lineRule="auto"/>
            </w:pPr>
            <w:r/>
            <w:r>
              <w:rPr>
                <w:b w:val="0"/>
                <w:sz w:val="16"/>
              </w:rPr>
              <w:t>Old report Section 5.2.1: 10 bps 13.739% return / 0.830 Sharpe / 16.358% MDD / about 4.17% excess vs EW; 15 bps 13.519% / 0.817 / 16.447% / 3.946%; 25 bps 13.080% / 0.790 / 16.693% / 3.507%; 40 bps 12.424% / 0.751 / 17.062% / about 2.85%. Old wording said cost degradation is smooth and 25 bps remains economically meaningful.</w:t>
            </w:r>
          </w:p>
        </w:tc>
        <w:tc>
          <w:tcPr>
            <w:tcW w:type="dxa" w:w="4365"/>
            <w:vAlign w:val="center"/>
          </w:tcPr>
          <w:p>
            <w:pPr>
              <w:spacing w:after="0" w:line="245" w:lineRule="auto"/>
            </w:pPr>
            <w:r/>
            <w:r>
              <w:rPr>
                <w:b w:val="0"/>
                <w:sz w:val="16"/>
              </w:rPr>
              <w:t>Formal values: 10 bps 12.12% / 0.593; 15 bps 11.94% / 0.582; 25 bps 11.57% / 0.561; 40 bps 11.02% / 0.530.</w:t>
            </w:r>
          </w:p>
        </w:tc>
        <w:tc>
          <w:tcPr>
            <w:tcW w:type="dxa" w:w="4535"/>
            <w:vAlign w:val="center"/>
          </w:tcPr>
          <w:p>
            <w:pPr>
              <w:spacing w:after="0" w:line="245" w:lineRule="auto"/>
            </w:pPr>
            <w:r/>
            <w:r>
              <w:rPr>
                <w:b w:val="0"/>
                <w:sz w:val="16"/>
              </w:rPr>
              <w:t>Final wording: Transaction-cost robustness remains positive. The 25 bps case still produces an 11.57% annualized return, a 0.561 Sharpe ratio, and 2.21% annualized excess return versus Universe EW. The margin is lower than the earlier report; the final conclusion is cost resilience rather than very strong cost immunity.</w:t>
            </w:r>
          </w:p>
        </w:tc>
      </w:tr>
      <w:tr>
        <w:tc>
          <w:tcPr>
            <w:tcW w:type="dxa" w:w="2324"/>
            <w:vAlign w:val="center"/>
            <w:shd w:fill="EEF3FA"/>
          </w:tcPr>
          <w:p>
            <w:pPr>
              <w:spacing w:after="0" w:line="245" w:lineRule="auto"/>
            </w:pPr>
            <w:r/>
            <w:r>
              <w:rPr>
                <w:b w:val="0"/>
                <w:sz w:val="16"/>
              </w:rPr>
              <w:t>Test 3 Concentration sensitivity</w:t>
            </w:r>
          </w:p>
        </w:tc>
        <w:tc>
          <w:tcPr>
            <w:tcW w:type="dxa" w:w="4365"/>
            <w:vAlign w:val="center"/>
            <w:shd w:fill="FAFBFD"/>
          </w:tcPr>
          <w:p>
            <w:pPr>
              <w:spacing w:after="0" w:line="245" w:lineRule="auto"/>
            </w:pPr>
            <w:r/>
            <w:r>
              <w:rPr>
                <w:b w:val="0"/>
                <w:sz w:val="16"/>
              </w:rPr>
              <w:t>Old values: broader 13.80% return / 0.845 Sharpe; mainline 13.53% / 0.817; tighter close to mainline. Old wording suggested strong stability across concentration settings.</w:t>
            </w:r>
          </w:p>
        </w:tc>
        <w:tc>
          <w:tcPr>
            <w:tcW w:type="dxa" w:w="4365"/>
            <w:vAlign w:val="center"/>
            <w:shd w:fill="FAFBFD"/>
          </w:tcPr>
          <w:p>
            <w:pPr>
              <w:spacing w:after="0" w:line="245" w:lineRule="auto"/>
            </w:pPr>
            <w:r/>
            <w:r>
              <w:rPr>
                <w:b w:val="0"/>
                <w:sz w:val="16"/>
              </w:rPr>
              <w:t>Formal values: broader Ann. return 10.76%; Sharpe 0.513; MDD 19.54%; excess vs Universe EW 1.39%. mainline Ann. return 10.85%; Sharpe 0.515; MDD 19.57%; excess vs Universe EW 1.49%. tighter Ann. return 11.09%; Sharpe 0.528; MDD 19.57%; excess vs Universe EW 1.73%.</w:t>
            </w:r>
          </w:p>
        </w:tc>
        <w:tc>
          <w:tcPr>
            <w:tcW w:type="dxa" w:w="4535"/>
            <w:vAlign w:val="center"/>
            <w:shd w:fill="FAFBFD"/>
          </w:tcPr>
          <w:p>
            <w:pPr>
              <w:spacing w:after="0" w:line="245" w:lineRule="auto"/>
            </w:pPr>
            <w:r/>
            <w:r>
              <w:rPr>
                <w:b w:val="0"/>
                <w:sz w:val="16"/>
              </w:rPr>
              <w:t>Final wording: Concentration sensitivity does not overturn the strategy result. Returns sit around 10.76%-11.09% and Sharpe ratios around 0.513-0.528, so the signal is not dependent on one exact holding-count setting, although the latest figures are lower than the earlier report.</w:t>
            </w:r>
          </w:p>
        </w:tc>
      </w:tr>
      <w:tr>
        <w:tc>
          <w:tcPr>
            <w:tcW w:type="dxa" w:w="2324"/>
            <w:vAlign w:val="center"/>
            <w:shd w:fill="EEF3FA"/>
          </w:tcPr>
          <w:p>
            <w:pPr>
              <w:spacing w:after="0" w:line="245" w:lineRule="auto"/>
            </w:pPr>
            <w:r/>
            <w:r>
              <w:rPr>
                <w:b w:val="0"/>
                <w:sz w:val="16"/>
              </w:rPr>
              <w:t>Test 5 Regime threshold sensitivity</w:t>
            </w:r>
          </w:p>
        </w:tc>
        <w:tc>
          <w:tcPr>
            <w:tcW w:type="dxa" w:w="4365"/>
            <w:vAlign w:val="center"/>
          </w:tcPr>
          <w:p>
            <w:pPr>
              <w:spacing w:after="0" w:line="245" w:lineRule="auto"/>
            </w:pPr>
            <w:r/>
            <w:r>
              <w:rPr>
                <w:b w:val="0"/>
                <w:sz w:val="16"/>
              </w:rPr>
              <w:t>Old values: disabled 10.91% return / 0.714 Sharpe; less sensitive 12.38% / 0.760; mainline 13.53% / 0.817; more sensitive 12.69% / 0.757. Old wording gave a strong regime-switching conclusion.</w:t>
            </w:r>
          </w:p>
        </w:tc>
        <w:tc>
          <w:tcPr>
            <w:tcW w:type="dxa" w:w="4365"/>
            <w:vAlign w:val="center"/>
          </w:tcPr>
          <w:p>
            <w:pPr>
              <w:spacing w:after="0" w:line="245" w:lineRule="auto"/>
            </w:pPr>
            <w:r/>
            <w:r>
              <w:rPr>
                <w:b w:val="0"/>
                <w:sz w:val="16"/>
              </w:rPr>
              <w:t>Formal values: disabled Ann. return 9.00%; Sharpe 0.424; MDD 17.66%; excess vs Universe EW -0.37%. less sensitive Ann. return 10.16%; Sharpe 0.479; MDD 19.84%; excess vs Universe EW 0.80%. mainline Ann. return 10.85%; Sharpe 0.515; MDD 19.57%; excess vs Universe EW 1.49%. more sensitive Ann. return 10.10%; Sharpe 0.466; MDD 20.60%; excess vs Universe EW 0.74%.</w:t>
            </w:r>
          </w:p>
        </w:tc>
        <w:tc>
          <w:tcPr>
            <w:tcW w:type="dxa" w:w="4535"/>
            <w:vAlign w:val="center"/>
          </w:tcPr>
          <w:p>
            <w:pPr>
              <w:spacing w:after="0" w:line="245" w:lineRule="auto"/>
            </w:pPr>
            <w:r/>
            <w:r>
              <w:rPr>
                <w:b w:val="0"/>
                <w:sz w:val="16"/>
              </w:rPr>
              <w:t>Final wording: Regime switching remains useful because the disabled case is weaker, but the formal figures support a moderate rather than a very strong regime claim. The mainline regime setting records a 10.85% annualized return and a 0.515 Sharpe ratio in this sensitivity set.</w:t>
            </w:r>
          </w:p>
        </w:tc>
      </w:tr>
      <w:tr>
        <w:tc>
          <w:tcPr>
            <w:tcW w:type="dxa" w:w="2324"/>
            <w:vAlign w:val="center"/>
            <w:shd w:fill="EEF3FA"/>
          </w:tcPr>
          <w:p>
            <w:pPr>
              <w:spacing w:after="0" w:line="245" w:lineRule="auto"/>
            </w:pPr>
            <w:r/>
            <w:r>
              <w:rPr>
                <w:b w:val="0"/>
                <w:sz w:val="16"/>
              </w:rPr>
              <w:t>Test 6 Drawdown brake</w:t>
            </w:r>
          </w:p>
        </w:tc>
        <w:tc>
          <w:tcPr>
            <w:tcW w:type="dxa" w:w="4365"/>
            <w:vAlign w:val="center"/>
            <w:shd w:fill="FAFBFD"/>
          </w:tcPr>
          <w:p>
            <w:pPr>
              <w:spacing w:after="0" w:line="245" w:lineRule="auto"/>
            </w:pPr>
            <w:r/>
            <w:r>
              <w:rPr>
                <w:b w:val="0"/>
                <w:sz w:val="16"/>
              </w:rPr>
              <w:t>Old values: disabled 13.52% return / 0.817 Sharpe; aggressive 8.41% / 0.606. Old wording treated the brake mainly as a risk-control overlay.</w:t>
            </w:r>
          </w:p>
        </w:tc>
        <w:tc>
          <w:tcPr>
            <w:tcW w:type="dxa" w:w="4365"/>
            <w:vAlign w:val="center"/>
            <w:shd w:fill="FAFBFD"/>
          </w:tcPr>
          <w:p>
            <w:pPr>
              <w:spacing w:after="0" w:line="245" w:lineRule="auto"/>
            </w:pPr>
            <w:r/>
            <w:r>
              <w:rPr>
                <w:b w:val="0"/>
                <w:sz w:val="16"/>
              </w:rPr>
              <w:t>Formal values: off Ann. return 11.94%; Sharpe 0.582; MDD 17.13%; excess vs Universe EW 2.58%. mild Ann. return 10.99%; Sharpe 0.551; MDD 15.29%; excess vs Universe EW 1.63%. aggressive Ann. return 7.02%; Sharpe 0.322; MDD 12.98%; excess vs Universe EW -2.35%.</w:t>
            </w:r>
          </w:p>
        </w:tc>
        <w:tc>
          <w:tcPr>
            <w:tcW w:type="dxa" w:w="4535"/>
            <w:vAlign w:val="center"/>
            <w:shd w:fill="FAFBFD"/>
          </w:tcPr>
          <w:p>
            <w:pPr>
              <w:spacing w:after="0" w:line="245" w:lineRule="auto"/>
            </w:pPr>
            <w:r/>
            <w:r>
              <w:rPr>
                <w:b w:val="0"/>
                <w:sz w:val="16"/>
              </w:rPr>
              <w:t>Final wording: Drawdown brakes reduce downside at the cost of return. The formal baseline is reported with the brake inactive, while the aggressive brake lowers maximum drawdown to about 12.98% and reduces annualized return to about 7.02%.</w:t>
            </w:r>
          </w:p>
        </w:tc>
      </w:tr>
      <w:tr>
        <w:tc>
          <w:tcPr>
            <w:tcW w:type="dxa" w:w="2324"/>
            <w:vAlign w:val="center"/>
            <w:shd w:fill="EEF3FA"/>
          </w:tcPr>
          <w:p>
            <w:pPr>
              <w:spacing w:after="0" w:line="245" w:lineRule="auto"/>
            </w:pPr>
            <w:r/>
            <w:r>
              <w:rPr>
                <w:b w:val="0"/>
                <w:sz w:val="16"/>
              </w:rPr>
              <w:t>Test 7 Incumbent band</w:t>
            </w:r>
          </w:p>
        </w:tc>
        <w:tc>
          <w:tcPr>
            <w:tcW w:type="dxa" w:w="4365"/>
            <w:vAlign w:val="center"/>
          </w:tcPr>
          <w:p>
            <w:pPr>
              <w:spacing w:after="0" w:line="245" w:lineRule="auto"/>
            </w:pPr>
            <w:r/>
            <w:r>
              <w:rPr>
                <w:b w:val="0"/>
                <w:sz w:val="16"/>
              </w:rPr>
              <w:t>Old values: band_none 13.82% return / 0.843 Sharpe; band_wide 13.12% / 0.799. Old wording implied stronger stability.</w:t>
            </w:r>
          </w:p>
        </w:tc>
        <w:tc>
          <w:tcPr>
            <w:tcW w:type="dxa" w:w="4365"/>
            <w:vAlign w:val="center"/>
          </w:tcPr>
          <w:p>
            <w:pPr>
              <w:spacing w:after="0" w:line="245" w:lineRule="auto"/>
            </w:pPr>
            <w:r/>
            <w:r>
              <w:rPr>
                <w:b w:val="0"/>
                <w:sz w:val="16"/>
              </w:rPr>
              <w:t>Formal values: none Ann. return 10.72%; Sharpe 0.509; MDD 19.69%; excess vs Universe EW 1.36%. medium Ann. return 11.19%; Sharpe 0.537; MDD 18.52%; excess vs Universe EW 1.83%. wide Ann. return 10.84%; Sharpe 0.516; MDD 19.56%; excess vs Universe EW 1.48%.</w:t>
            </w:r>
          </w:p>
        </w:tc>
        <w:tc>
          <w:tcPr>
            <w:tcW w:type="dxa" w:w="4535"/>
            <w:vAlign w:val="center"/>
          </w:tcPr>
          <w:p>
            <w:pPr>
              <w:spacing w:after="0" w:line="245" w:lineRule="auto"/>
            </w:pPr>
            <w:r/>
            <w:r>
              <w:rPr>
                <w:b w:val="0"/>
                <w:sz w:val="16"/>
              </w:rPr>
              <w:t>Final wording: Incumbent-band variants are moderately stable rather than exceptionally strong. Returns range from about 10.72% to 11.19%, and Sharpe ratios range from about 0.509 to 0.537, with no collapse across band settings.</w:t>
            </w:r>
          </w:p>
        </w:tc>
      </w:tr>
      <w:tr>
        <w:tc>
          <w:tcPr>
            <w:tcW w:type="dxa" w:w="2324"/>
            <w:vAlign w:val="center"/>
            <w:shd w:fill="EEF3FA"/>
          </w:tcPr>
          <w:p>
            <w:pPr>
              <w:spacing w:after="0" w:line="245" w:lineRule="auto"/>
            </w:pPr>
            <w:r/>
            <w:r>
              <w:rPr>
                <w:b w:val="0"/>
                <w:sz w:val="16"/>
              </w:rPr>
              <w:t>Test 8 Trade constraints</w:t>
            </w:r>
          </w:p>
        </w:tc>
        <w:tc>
          <w:tcPr>
            <w:tcW w:type="dxa" w:w="4365"/>
            <w:vAlign w:val="center"/>
            <w:shd w:fill="FAFBFD"/>
          </w:tcPr>
          <w:p>
            <w:pPr>
              <w:spacing w:after="0" w:line="245" w:lineRule="auto"/>
            </w:pPr>
            <w:r/>
            <w:r>
              <w:rPr>
                <w:b w:val="0"/>
                <w:sz w:val="16"/>
              </w:rPr>
              <w:t>Old values: annualized returns around 13.53%-13.55% and Sharpe ratios around 0.814-0.819. Old wording said trade constraints barely changed core performance.</w:t>
            </w:r>
          </w:p>
        </w:tc>
        <w:tc>
          <w:tcPr>
            <w:tcW w:type="dxa" w:w="4365"/>
            <w:vAlign w:val="center"/>
            <w:shd w:fill="FAFBFD"/>
          </w:tcPr>
          <w:p>
            <w:pPr>
              <w:spacing w:after="0" w:line="245" w:lineRule="auto"/>
            </w:pPr>
            <w:r/>
            <w:r>
              <w:rPr>
                <w:b w:val="0"/>
                <w:sz w:val="16"/>
              </w:rPr>
              <w:t>Formal values: none Ann. return 10.85%; Sharpe 0.515; MDD 19.57%; excess vs Universe EW 1.49%. medium Ann. return 10.92%; Sharpe 0.518; MDD 19.57%; excess vs Universe EW 1.55%. strong Ann. return 10.94%; Sharpe 0.519; MDD 19.58%; excess vs Universe EW 1.58%.</w:t>
            </w:r>
          </w:p>
        </w:tc>
        <w:tc>
          <w:tcPr>
            <w:tcW w:type="dxa" w:w="4535"/>
            <w:vAlign w:val="center"/>
            <w:shd w:fill="FAFBFD"/>
          </w:tcPr>
          <w:p>
            <w:pPr>
              <w:spacing w:after="0" w:line="245" w:lineRule="auto"/>
            </w:pPr>
            <w:r/>
            <w:r>
              <w:rPr>
                <w:b w:val="0"/>
                <w:sz w:val="16"/>
              </w:rPr>
              <w:t>Final wording: Trade-constraint variants remain close to each other, so the constraints are not the main source of alpha. The formal range is lower than the earlier report, with annualized returns around 10.85%-10.94% and Sharpe ratios around 0.515-0.519.</w:t>
            </w:r>
          </w:p>
        </w:tc>
      </w:tr>
    </w:tbl>
    <w:p/>
    <w:p>
      <w:r>
        <w:br w:type="page"/>
      </w:r>
    </w:p>
    <w:p>
      <w:pPr>
        <w:pStyle w:val="Heading1"/>
      </w:pPr>
      <w:r>
        <w:t>Part 2 Ablation</w:t>
      </w:r>
    </w:p>
    <w:tbl>
      <w:tblPr>
        <w:tblStyle w:val="RevisionTable"/>
        <w:tblW w:type="auto" w:w="0"/>
        <w:jc w:val="center"/>
        <w:tblLook w:firstColumn="1" w:firstRow="1" w:lastColumn="0" w:lastRow="0" w:noHBand="0" w:noVBand="1" w:val="04A0"/>
      </w:tblPr>
      <w:tblGrid>
        <w:gridCol w:w="3855"/>
        <w:gridCol w:w="3855"/>
        <w:gridCol w:w="3855"/>
        <w:gridCol w:w="3855"/>
      </w:tblGrid>
      <w:tr>
        <w:tc>
          <w:tcPr>
            <w:tcW w:type="dxa" w:w="2324"/>
            <w:shd w:fill="1F3A5F"/>
            <w:vAlign w:val="center"/>
          </w:tcPr>
          <w:p>
            <w:pPr>
              <w:spacing w:after="0" w:line="245" w:lineRule="auto"/>
            </w:pPr>
            <w:r/>
            <w:r>
              <w:rPr>
                <w:b/>
                <w:color w:val="FFFFFF"/>
                <w:sz w:val="17"/>
              </w:rPr>
              <w:t>Report item</w:t>
            </w:r>
          </w:p>
        </w:tc>
        <w:tc>
          <w:tcPr>
            <w:tcW w:type="dxa" w:w="4365"/>
            <w:shd w:fill="1F3A5F"/>
            <w:vAlign w:val="center"/>
          </w:tcPr>
          <w:p>
            <w:pPr>
              <w:spacing w:after="0" w:line="245" w:lineRule="auto"/>
            </w:pPr>
            <w:r/>
            <w:r>
              <w:rPr>
                <w:b/>
                <w:color w:val="FFFFFF"/>
                <w:sz w:val="17"/>
              </w:rPr>
              <w:t>Previous report value / claim</w:t>
            </w:r>
          </w:p>
        </w:tc>
        <w:tc>
          <w:tcPr>
            <w:tcW w:type="dxa" w:w="4365"/>
            <w:shd w:fill="1F3A5F"/>
            <w:vAlign w:val="center"/>
          </w:tcPr>
          <w:p>
            <w:pPr>
              <w:spacing w:after="0" w:line="245" w:lineRule="auto"/>
            </w:pPr>
            <w:r/>
            <w:r>
              <w:rPr>
                <w:b/>
                <w:color w:val="FFFFFF"/>
                <w:sz w:val="17"/>
              </w:rPr>
              <w:t>Formal latest value</w:t>
            </w:r>
          </w:p>
        </w:tc>
        <w:tc>
          <w:tcPr>
            <w:tcW w:type="dxa" w:w="4535"/>
            <w:shd w:fill="1F3A5F"/>
            <w:vAlign w:val="center"/>
          </w:tcPr>
          <w:p>
            <w:pPr>
              <w:spacing w:after="0" w:line="245" w:lineRule="auto"/>
            </w:pPr>
            <w:r/>
            <w:r>
              <w:rPr>
                <w:b/>
                <w:color w:val="FFFFFF"/>
                <w:sz w:val="17"/>
              </w:rPr>
              <w:t>Final body wording to use</w:t>
            </w:r>
          </w:p>
        </w:tc>
      </w:tr>
      <w:tr>
        <w:tc>
          <w:tcPr>
            <w:tcW w:type="dxa" w:w="2324"/>
            <w:vAlign w:val="center"/>
            <w:shd w:fill="EEF3FA"/>
          </w:tcPr>
          <w:p>
            <w:pPr>
              <w:spacing w:after="0" w:line="245" w:lineRule="auto"/>
            </w:pPr>
            <w:r/>
            <w:r>
              <w:rPr>
                <w:b w:val="0"/>
                <w:sz w:val="16"/>
              </w:rPr>
              <w:t>Formal Block B ablation</w:t>
            </w:r>
          </w:p>
        </w:tc>
        <w:tc>
          <w:tcPr>
            <w:tcW w:type="dxa" w:w="4365"/>
            <w:vAlign w:val="center"/>
          </w:tcPr>
          <w:p>
            <w:pPr>
              <w:spacing w:after="0" w:line="245" w:lineRule="auto"/>
            </w:pPr>
            <w:r/>
            <w:r>
              <w:rPr>
                <w:b w:val="0"/>
                <w:sz w:val="16"/>
              </w:rPr>
              <w:t>Old value: previous PDF used a value-factor removal result, with value removal around 9.44% annualized return and 0.590 Sharpe versus mainline 13.53% and 0.817. That evidence belongs to the earlier data state.</w:t>
            </w:r>
          </w:p>
        </w:tc>
        <w:tc>
          <w:tcPr>
            <w:tcW w:type="dxa" w:w="4365"/>
            <w:vAlign w:val="center"/>
          </w:tcPr>
          <w:p>
            <w:pPr>
              <w:spacing w:after="0" w:line="245" w:lineRule="auto"/>
            </w:pPr>
            <w:r/>
            <w:r>
              <w:rPr>
                <w:b w:val="0"/>
                <w:sz w:val="16"/>
              </w:rPr>
              <w:t>Formal values: no regime switch Ann. return 9.00%; Sharpe 0.424; MDD 17.66%; excess vs Universe EW -0.37%. no risk overlay Ann. return 16.49%; Sharpe 0.762; MDD 20.20%; excess vs Universe EW 7.12%. no sector constraint Ann. return 10.85%; Sharpe 0.514; MDD 19.57%; excess vs Universe EW 1.48%.</w:t>
            </w:r>
          </w:p>
        </w:tc>
        <w:tc>
          <w:tcPr>
            <w:tcW w:type="dxa" w:w="4535"/>
            <w:vAlign w:val="center"/>
          </w:tcPr>
          <w:p>
            <w:pPr>
              <w:spacing w:after="0" w:line="245" w:lineRule="auto"/>
            </w:pPr>
            <w:r/>
            <w:r>
              <w:rPr>
                <w:b w:val="0"/>
                <w:sz w:val="16"/>
              </w:rPr>
              <w:t>Final wording: The final ablation paragraph uses the formal Block B results. Removing regime switching weakens the strategy to a 9.00% annualized return and a 0.424 Sharpe ratio. Removing the risk overlay raises return to 16.49% but increases maximum drawdown to 20.20%, so the overlay is best described as defensive risk control. Removing sector constraints weakens the result modestly.</w:t>
            </w:r>
          </w:p>
        </w:tc>
      </w:tr>
      <w:tr>
        <w:tc>
          <w:tcPr>
            <w:tcW w:type="dxa" w:w="2324"/>
            <w:vAlign w:val="center"/>
            <w:shd w:fill="EEF3FA"/>
          </w:tcPr>
          <w:p>
            <w:pPr>
              <w:spacing w:after="0" w:line="245" w:lineRule="auto"/>
            </w:pPr>
            <w:r/>
            <w:r>
              <w:rPr>
                <w:b w:val="0"/>
                <w:sz w:val="16"/>
              </w:rPr>
              <w:t>Inactive toggles</w:t>
            </w:r>
          </w:p>
        </w:tc>
        <w:tc>
          <w:tcPr>
            <w:tcW w:type="dxa" w:w="4365"/>
            <w:vAlign w:val="center"/>
            <w:shd w:fill="FAFBFD"/>
          </w:tcPr>
          <w:p>
            <w:pPr>
              <w:spacing w:after="0" w:line="245" w:lineRule="auto"/>
            </w:pPr>
            <w:r/>
            <w:r>
              <w:rPr>
                <w:b w:val="0"/>
                <w:sz w:val="16"/>
              </w:rPr>
              <w:t>Old wording gave implementation overlays more narrative weight than the formal run supports.</w:t>
            </w:r>
          </w:p>
        </w:tc>
        <w:tc>
          <w:tcPr>
            <w:tcW w:type="dxa" w:w="4365"/>
            <w:vAlign w:val="center"/>
            <w:shd w:fill="FAFBFD"/>
          </w:tcPr>
          <w:p>
            <w:pPr>
              <w:spacing w:after="0" w:line="245" w:lineRule="auto"/>
            </w:pPr>
            <w:r/>
            <w:r>
              <w:rPr>
                <w:b w:val="0"/>
                <w:sz w:val="16"/>
              </w:rPr>
              <w:t>Formal values: no intraday trigger Ann. return 11.94%; Sharpe 0.582; MDD 17.13%; excess vs Universe EW 2.58%. no liquidity clipping Ann. return 11.94%; Sharpe 0.582; MDD 17.13%; excess vs Universe EW 2.58%. no drawdown brake Ann. return 11.94%; Sharpe 0.582; MDD 17.13%; excess vs Universe EW 2.58%.</w:t>
            </w:r>
          </w:p>
        </w:tc>
        <w:tc>
          <w:tcPr>
            <w:tcW w:type="dxa" w:w="4535"/>
            <w:vAlign w:val="center"/>
            <w:shd w:fill="FAFBFD"/>
          </w:tcPr>
          <w:p>
            <w:pPr>
              <w:spacing w:after="0" w:line="245" w:lineRule="auto"/>
            </w:pPr>
            <w:r/>
            <w:r>
              <w:rPr>
                <w:b w:val="0"/>
                <w:sz w:val="16"/>
              </w:rPr>
              <w:t>Final wording: Intraday trigger, liquidity clipping, and drawdown-brake toggles are non-binding in the formal baseline. The final report does not present them as major performance drivers.</w:t>
            </w:r>
          </w:p>
        </w:tc>
      </w:tr>
    </w:tbl>
    <w:p/>
    <w:p>
      <w:pPr>
        <w:pStyle w:val="Heading1"/>
      </w:pPr>
      <w:r>
        <w:t>Part 3 Subperiod and Regime Evidence</w:t>
      </w:r>
    </w:p>
    <w:tbl>
      <w:tblPr>
        <w:tblStyle w:val="RevisionTable"/>
        <w:tblW w:type="auto" w:w="0"/>
        <w:jc w:val="center"/>
        <w:tblLook w:firstColumn="1" w:firstRow="1" w:lastColumn="0" w:lastRow="0" w:noHBand="0" w:noVBand="1" w:val="04A0"/>
      </w:tblPr>
      <w:tblGrid>
        <w:gridCol w:w="3855"/>
        <w:gridCol w:w="3855"/>
        <w:gridCol w:w="3855"/>
        <w:gridCol w:w="3855"/>
      </w:tblGrid>
      <w:tr>
        <w:tc>
          <w:tcPr>
            <w:tcW w:type="dxa" w:w="2324"/>
            <w:shd w:fill="1F3A5F"/>
            <w:vAlign w:val="center"/>
          </w:tcPr>
          <w:p>
            <w:pPr>
              <w:spacing w:after="0" w:line="245" w:lineRule="auto"/>
            </w:pPr>
            <w:r/>
            <w:r>
              <w:rPr>
                <w:b/>
                <w:color w:val="FFFFFF"/>
                <w:sz w:val="17"/>
              </w:rPr>
              <w:t>Report item</w:t>
            </w:r>
          </w:p>
        </w:tc>
        <w:tc>
          <w:tcPr>
            <w:tcW w:type="dxa" w:w="4365"/>
            <w:shd w:fill="1F3A5F"/>
            <w:vAlign w:val="center"/>
          </w:tcPr>
          <w:p>
            <w:pPr>
              <w:spacing w:after="0" w:line="245" w:lineRule="auto"/>
            </w:pPr>
            <w:r/>
            <w:r>
              <w:rPr>
                <w:b/>
                <w:color w:val="FFFFFF"/>
                <w:sz w:val="17"/>
              </w:rPr>
              <w:t>Previous report value / claim</w:t>
            </w:r>
          </w:p>
        </w:tc>
        <w:tc>
          <w:tcPr>
            <w:tcW w:type="dxa" w:w="4365"/>
            <w:shd w:fill="1F3A5F"/>
            <w:vAlign w:val="center"/>
          </w:tcPr>
          <w:p>
            <w:pPr>
              <w:spacing w:after="0" w:line="245" w:lineRule="auto"/>
            </w:pPr>
            <w:r/>
            <w:r>
              <w:rPr>
                <w:b/>
                <w:color w:val="FFFFFF"/>
                <w:sz w:val="17"/>
              </w:rPr>
              <w:t>Formal latest value</w:t>
            </w:r>
          </w:p>
        </w:tc>
        <w:tc>
          <w:tcPr>
            <w:tcW w:type="dxa" w:w="4535"/>
            <w:shd w:fill="1F3A5F"/>
            <w:vAlign w:val="center"/>
          </w:tcPr>
          <w:p>
            <w:pPr>
              <w:spacing w:after="0" w:line="245" w:lineRule="auto"/>
            </w:pPr>
            <w:r/>
            <w:r>
              <w:rPr>
                <w:b/>
                <w:color w:val="FFFFFF"/>
                <w:sz w:val="17"/>
              </w:rPr>
              <w:t>Final body wording to use</w:t>
            </w:r>
          </w:p>
        </w:tc>
      </w:tr>
      <w:tr>
        <w:tc>
          <w:tcPr>
            <w:tcW w:type="dxa" w:w="2324"/>
            <w:vAlign w:val="center"/>
            <w:shd w:fill="EEF3FA"/>
          </w:tcPr>
          <w:p>
            <w:pPr>
              <w:spacing w:after="0" w:line="245" w:lineRule="auto"/>
            </w:pPr>
            <w:r/>
            <w:r>
              <w:rPr>
                <w:b w:val="0"/>
                <w:sz w:val="16"/>
              </w:rPr>
              <w:t>Regime performance</w:t>
            </w:r>
          </w:p>
        </w:tc>
        <w:tc>
          <w:tcPr>
            <w:tcW w:type="dxa" w:w="4365"/>
            <w:vAlign w:val="center"/>
          </w:tcPr>
          <w:p>
            <w:pPr>
              <w:spacing w:after="0" w:line="245" w:lineRule="auto"/>
            </w:pPr>
            <w:r/>
            <w:r>
              <w:rPr>
                <w:b w:val="0"/>
                <w:sz w:val="16"/>
              </w:rPr>
              <w:t>Old report Section 4.6: all periods excess +3.98% vs Universe EW and +6.39% vs static; normal excess +3.84% vs Universe EW and +6.75% vs static with 0.958 Sharpe; stress excess +4.43% vs Universe EW and +4.48% vs static with -0.829 Sharpe. Section 4.6.2 described the stress answer as unambiguous and said the regime-aware composite minimised losses.</w:t>
            </w:r>
          </w:p>
        </w:tc>
        <w:tc>
          <w:tcPr>
            <w:tcW w:type="dxa" w:w="4365"/>
            <w:vAlign w:val="center"/>
          </w:tcPr>
          <w:p>
            <w:pPr>
              <w:spacing w:after="0" w:line="245" w:lineRule="auto"/>
            </w:pPr>
            <w:r/>
            <w:r>
              <w:rPr>
                <w:b w:val="0"/>
                <w:sz w:val="16"/>
              </w:rPr>
              <w:t>Formal values: normal regime strategy return 17.08%; excess vs static 5.43%; excess vs Universe EW 2.21%; strategy MDD 10.61%. stress regime strategy return -15.91%; excess vs static -1.03%; excess vs Universe EW 4.10%; strategy MDD 13.18%. all-period strategy return 11.94%; excess vs static 4.32%; excess vs Universe EW 2.58%; strategy MDD 17.13%.</w:t>
            </w:r>
          </w:p>
        </w:tc>
        <w:tc>
          <w:tcPr>
            <w:tcW w:type="dxa" w:w="4535"/>
            <w:vAlign w:val="center"/>
          </w:tcPr>
          <w:p>
            <w:pPr>
              <w:spacing w:after="0" w:line="245" w:lineRule="auto"/>
            </w:pPr>
            <w:r/>
            <w:r>
              <w:rPr>
                <w:b w:val="0"/>
                <w:sz w:val="16"/>
              </w:rPr>
              <w:t>Final wording: Regime evidence is benchmark-specific. The strategy is positive in normal regimes and keeps positive stress-period excess versus Universe EW, but stress-period excess versus the static baseline is -1.03%. The final report states that stress performance is mixed, not uniformly strong.</w:t>
            </w:r>
          </w:p>
        </w:tc>
      </w:tr>
      <w:tr>
        <w:tc>
          <w:tcPr>
            <w:tcW w:type="dxa" w:w="2324"/>
            <w:vAlign w:val="center"/>
            <w:shd w:fill="EEF3FA"/>
          </w:tcPr>
          <w:p>
            <w:pPr>
              <w:spacing w:after="0" w:line="245" w:lineRule="auto"/>
            </w:pPr>
            <w:r/>
            <w:r>
              <w:rPr>
                <w:b w:val="0"/>
                <w:sz w:val="16"/>
              </w:rPr>
              <w:t>Fixed subperiods</w:t>
            </w:r>
          </w:p>
        </w:tc>
        <w:tc>
          <w:tcPr>
            <w:tcW w:type="dxa" w:w="4365"/>
            <w:vAlign w:val="center"/>
            <w:shd w:fill="FAFBFD"/>
          </w:tcPr>
          <w:p>
            <w:pPr>
              <w:spacing w:after="0" w:line="245" w:lineRule="auto"/>
            </w:pPr>
            <w:r/>
            <w:r>
              <w:rPr>
                <w:b w:val="0"/>
                <w:sz w:val="16"/>
              </w:rPr>
              <w:t>Old wording presented the backtest as broadly strong across market states.</w:t>
            </w:r>
          </w:p>
        </w:tc>
        <w:tc>
          <w:tcPr>
            <w:tcW w:type="dxa" w:w="4365"/>
            <w:vAlign w:val="center"/>
            <w:shd w:fill="FAFBFD"/>
          </w:tcPr>
          <w:p>
            <w:pPr>
              <w:spacing w:after="0" w:line="245" w:lineRule="auto"/>
            </w:pPr>
            <w:r/>
            <w:r>
              <w:rPr>
                <w:b w:val="0"/>
                <w:sz w:val="16"/>
              </w:rPr>
              <w:t>Formal values: 2022 Bear window annualized return 1.49%, Sharpe 0.075, max drawdown 17.13%, excess vs SPY 9.70%; 2024 Bull window annualized return 36.07%, Sharpe 2.650; 2025-2026 Recent window annualized return 7.59%, Sharpe 0.530, excess vs SPY -0.18%.</w:t>
            </w:r>
          </w:p>
        </w:tc>
        <w:tc>
          <w:tcPr>
            <w:tcW w:type="dxa" w:w="4535"/>
            <w:vAlign w:val="center"/>
            <w:shd w:fill="FAFBFD"/>
          </w:tcPr>
          <w:p>
            <w:pPr>
              <w:spacing w:after="0" w:line="245" w:lineRule="auto"/>
            </w:pPr>
            <w:r/>
            <w:r>
              <w:rPr>
                <w:b w:val="0"/>
                <w:sz w:val="16"/>
              </w:rPr>
              <w:t>Final wording: Subperiod evidence is positive but uneven. The strategy protects relative value in 2022, participates strongly in the 2024 bull market, and is broadly acceptable in the recent window, while recent benchmark-relative excess is close to flat.</w:t>
            </w:r>
          </w:p>
        </w:tc>
      </w:tr>
    </w:tbl>
    <w:p/>
    <w:p>
      <w:r>
        <w:br w:type="page"/>
      </w:r>
    </w:p>
    <w:p>
      <w:pPr>
        <w:pStyle w:val="Heading1"/>
      </w:pPr>
      <w:r>
        <w:t>Part 4 Stochastic Evidence and Part 5 Final Scorecard</w:t>
      </w:r>
    </w:p>
    <w:tbl>
      <w:tblPr>
        <w:tblStyle w:val="RevisionTable"/>
        <w:tblW w:type="auto" w:w="0"/>
        <w:jc w:val="center"/>
        <w:tblLook w:firstColumn="1" w:firstRow="1" w:lastColumn="0" w:lastRow="0" w:noHBand="0" w:noVBand="1" w:val="04A0"/>
      </w:tblPr>
      <w:tblGrid>
        <w:gridCol w:w="3855"/>
        <w:gridCol w:w="3855"/>
        <w:gridCol w:w="3855"/>
        <w:gridCol w:w="3855"/>
      </w:tblGrid>
      <w:tr>
        <w:tc>
          <w:tcPr>
            <w:tcW w:type="dxa" w:w="2324"/>
            <w:shd w:fill="1F3A5F"/>
            <w:vAlign w:val="center"/>
          </w:tcPr>
          <w:p>
            <w:pPr>
              <w:spacing w:after="0" w:line="245" w:lineRule="auto"/>
            </w:pPr>
            <w:r/>
            <w:r>
              <w:rPr>
                <w:b/>
                <w:color w:val="FFFFFF"/>
                <w:sz w:val="17"/>
              </w:rPr>
              <w:t>Report item</w:t>
            </w:r>
          </w:p>
        </w:tc>
        <w:tc>
          <w:tcPr>
            <w:tcW w:type="dxa" w:w="4365"/>
            <w:shd w:fill="1F3A5F"/>
            <w:vAlign w:val="center"/>
          </w:tcPr>
          <w:p>
            <w:pPr>
              <w:spacing w:after="0" w:line="245" w:lineRule="auto"/>
            </w:pPr>
            <w:r/>
            <w:r>
              <w:rPr>
                <w:b/>
                <w:color w:val="FFFFFF"/>
                <w:sz w:val="17"/>
              </w:rPr>
              <w:t>Previous report value / claim</w:t>
            </w:r>
          </w:p>
        </w:tc>
        <w:tc>
          <w:tcPr>
            <w:tcW w:type="dxa" w:w="4365"/>
            <w:shd w:fill="1F3A5F"/>
            <w:vAlign w:val="center"/>
          </w:tcPr>
          <w:p>
            <w:pPr>
              <w:spacing w:after="0" w:line="245" w:lineRule="auto"/>
            </w:pPr>
            <w:r/>
            <w:r>
              <w:rPr>
                <w:b/>
                <w:color w:val="FFFFFF"/>
                <w:sz w:val="17"/>
              </w:rPr>
              <w:t>Formal latest value</w:t>
            </w:r>
          </w:p>
        </w:tc>
        <w:tc>
          <w:tcPr>
            <w:tcW w:type="dxa" w:w="4535"/>
            <w:shd w:fill="1F3A5F"/>
            <w:vAlign w:val="center"/>
          </w:tcPr>
          <w:p>
            <w:pPr>
              <w:spacing w:after="0" w:line="245" w:lineRule="auto"/>
            </w:pPr>
            <w:r/>
            <w:r>
              <w:rPr>
                <w:b/>
                <w:color w:val="FFFFFF"/>
                <w:sz w:val="17"/>
              </w:rPr>
              <w:t>Final body wording to use</w:t>
            </w:r>
          </w:p>
        </w:tc>
      </w:tr>
      <w:tr>
        <w:tc>
          <w:tcPr>
            <w:tcW w:type="dxa" w:w="2324"/>
            <w:vAlign w:val="center"/>
            <w:shd w:fill="EEF3FA"/>
          </w:tcPr>
          <w:p>
            <w:pPr>
              <w:spacing w:after="0" w:line="245" w:lineRule="auto"/>
            </w:pPr>
            <w:r/>
            <w:r>
              <w:rPr>
                <w:b w:val="0"/>
                <w:sz w:val="16"/>
              </w:rPr>
              <w:t>Test 9 Stationary bootstrap</w:t>
            </w:r>
          </w:p>
        </w:tc>
        <w:tc>
          <w:tcPr>
            <w:tcW w:type="dxa" w:w="4365"/>
            <w:vAlign w:val="center"/>
          </w:tcPr>
          <w:p>
            <w:pPr>
              <w:spacing w:after="0" w:line="245" w:lineRule="auto"/>
            </w:pPr>
            <w:r/>
            <w:r>
              <w:rPr>
                <w:b w:val="0"/>
                <w:sz w:val="16"/>
              </w:rPr>
              <w:t>Old values: median annualized return 14.08%, median Sharpe 0.841, positive-return probability 99.23%.</w:t>
            </w:r>
          </w:p>
        </w:tc>
        <w:tc>
          <w:tcPr>
            <w:tcW w:type="dxa" w:w="4365"/>
            <w:vAlign w:val="center"/>
          </w:tcPr>
          <w:p>
            <w:pPr>
              <w:spacing w:after="0" w:line="245" w:lineRule="auto"/>
            </w:pPr>
            <w:r/>
            <w:r>
              <w:rPr>
                <w:b w:val="0"/>
                <w:sz w:val="16"/>
              </w:rPr>
              <w:t>Formal values: P50 annualized return 12.51%; P50 Sharpe 0.788; P50 MDD 15.50%; positive-return probability 98.95%.</w:t>
            </w:r>
          </w:p>
        </w:tc>
        <w:tc>
          <w:tcPr>
            <w:tcW w:type="dxa" w:w="4535"/>
            <w:vAlign w:val="center"/>
          </w:tcPr>
          <w:p>
            <w:pPr>
              <w:spacing w:after="0" w:line="245" w:lineRule="auto"/>
            </w:pPr>
            <w:r/>
            <w:r>
              <w:rPr>
                <w:b w:val="0"/>
                <w:sz w:val="16"/>
              </w:rPr>
              <w:t>Final wording: Bootstrap evidence remains supportive, with a positive-return probability of 98.95%. The final report uses the lower formal median annualized return of 12.51% and median Sharpe ratio of 0.788.</w:t>
            </w:r>
          </w:p>
        </w:tc>
      </w:tr>
      <w:tr>
        <w:tc>
          <w:tcPr>
            <w:tcW w:type="dxa" w:w="2324"/>
            <w:vAlign w:val="center"/>
            <w:shd w:fill="EEF3FA"/>
          </w:tcPr>
          <w:p>
            <w:pPr>
              <w:spacing w:after="0" w:line="245" w:lineRule="auto"/>
            </w:pPr>
            <w:r/>
            <w:r>
              <w:rPr>
                <w:b w:val="0"/>
                <w:sz w:val="16"/>
              </w:rPr>
              <w:t>Test 10 Cost perturbation</w:t>
            </w:r>
          </w:p>
        </w:tc>
        <w:tc>
          <w:tcPr>
            <w:tcW w:type="dxa" w:w="4365"/>
            <w:vAlign w:val="center"/>
            <w:shd w:fill="FAFBFD"/>
          </w:tcPr>
          <w:p>
            <w:pPr>
              <w:spacing w:after="0" w:line="245" w:lineRule="auto"/>
            </w:pPr>
            <w:r/>
            <w:r>
              <w:rPr>
                <w:b w:val="0"/>
                <w:sz w:val="16"/>
              </w:rPr>
              <w:t>Old PDF did not separately use the formal Monte Carlo cost-perturbation test.</w:t>
            </w:r>
          </w:p>
        </w:tc>
        <w:tc>
          <w:tcPr>
            <w:tcW w:type="dxa" w:w="4365"/>
            <w:vAlign w:val="center"/>
            <w:shd w:fill="FAFBFD"/>
          </w:tcPr>
          <w:p>
            <w:pPr>
              <w:spacing w:after="0" w:line="245" w:lineRule="auto"/>
            </w:pPr>
            <w:r/>
            <w:r>
              <w:rPr>
                <w:b w:val="0"/>
                <w:sz w:val="16"/>
              </w:rPr>
              <w:t>Formal values: flat +25 bps P50 annualized return 11.45%; P50 Sharpe 0.712; P50 MDD 17.71%; positive-return probability 100.00%. sigma 30% P50 annualized return 12.39%; P50 Sharpe 0.770; P50 MDD 17.14%; positive-return probability 100.00%.</w:t>
            </w:r>
          </w:p>
        </w:tc>
        <w:tc>
          <w:tcPr>
            <w:tcW w:type="dxa" w:w="4535"/>
            <w:vAlign w:val="center"/>
            <w:shd w:fill="FAFBFD"/>
          </w:tcPr>
          <w:p>
            <w:pPr>
              <w:spacing w:after="0" w:line="245" w:lineRule="auto"/>
            </w:pPr>
            <w:r/>
            <w:r>
              <w:rPr>
                <w:b w:val="0"/>
                <w:sz w:val="16"/>
              </w:rPr>
              <w:t>Final wording: Monte Carlo cost perturbation supports execution-cost resilience. The flat +25 bps stress still has an 11.45% median annualized return and a 0.712 median Sharpe ratio.</w:t>
            </w:r>
          </w:p>
        </w:tc>
      </w:tr>
      <w:tr>
        <w:tc>
          <w:tcPr>
            <w:tcW w:type="dxa" w:w="2324"/>
            <w:vAlign w:val="center"/>
            <w:shd w:fill="EEF3FA"/>
          </w:tcPr>
          <w:p>
            <w:pPr>
              <w:spacing w:after="0" w:line="245" w:lineRule="auto"/>
            </w:pPr>
            <w:r/>
            <w:r>
              <w:rPr>
                <w:b w:val="0"/>
                <w:sz w:val="16"/>
              </w:rPr>
              <w:t>Test 11 Factor-weight neighbourhood</w:t>
            </w:r>
          </w:p>
        </w:tc>
        <w:tc>
          <w:tcPr>
            <w:tcW w:type="dxa" w:w="4365"/>
            <w:vAlign w:val="center"/>
          </w:tcPr>
          <w:p>
            <w:pPr>
              <w:spacing w:after="0" w:line="245" w:lineRule="auto"/>
            </w:pPr>
            <w:r/>
            <w:r>
              <w:rPr>
                <w:b w:val="0"/>
                <w:sz w:val="16"/>
              </w:rPr>
              <w:t>Old PDF did not use the formal Test 11 neighbourhood evidence.</w:t>
            </w:r>
          </w:p>
        </w:tc>
        <w:tc>
          <w:tcPr>
            <w:tcW w:type="dxa" w:w="4365"/>
            <w:vAlign w:val="center"/>
          </w:tcPr>
          <w:p>
            <w:pPr>
              <w:spacing w:after="0" w:line="245" w:lineRule="auto"/>
            </w:pPr>
            <w:r/>
            <w:r>
              <w:rPr>
                <w:b w:val="0"/>
                <w:sz w:val="16"/>
              </w:rPr>
              <w:t>Formal values: loose 10.81% return / 0.519 Sharpe; medium 11.58% return / 0.563 Sharpe; tight 10.54% return / 0.501 Sharpe.</w:t>
            </w:r>
          </w:p>
        </w:tc>
        <w:tc>
          <w:tcPr>
            <w:tcW w:type="dxa" w:w="4535"/>
            <w:vAlign w:val="center"/>
          </w:tcPr>
          <w:p>
            <w:pPr>
              <w:spacing w:after="0" w:line="245" w:lineRule="auto"/>
            </w:pPr>
            <w:r/>
            <w:r>
              <w:rPr>
                <w:b w:val="0"/>
                <w:sz w:val="16"/>
              </w:rPr>
              <w:t>Final wording: Local factor-weight perturbations leave the strategy directionally intact. The medium band records about 11.58% mean annualized return and a 0.563 mean Sharpe ratio.</w:t>
            </w:r>
          </w:p>
        </w:tc>
      </w:tr>
      <w:tr>
        <w:tc>
          <w:tcPr>
            <w:tcW w:type="dxa" w:w="2324"/>
            <w:vAlign w:val="center"/>
            <w:shd w:fill="EEF3FA"/>
          </w:tcPr>
          <w:p>
            <w:pPr>
              <w:spacing w:after="0" w:line="245" w:lineRule="auto"/>
            </w:pPr>
            <w:r/>
            <w:r>
              <w:rPr>
                <w:b w:val="0"/>
                <w:sz w:val="16"/>
              </w:rPr>
              <w:t>Test 12 Rolling OOS</w:t>
            </w:r>
          </w:p>
        </w:tc>
        <w:tc>
          <w:tcPr>
            <w:tcW w:type="dxa" w:w="4365"/>
            <w:vAlign w:val="center"/>
            <w:shd w:fill="FAFBFD"/>
          </w:tcPr>
          <w:p>
            <w:pPr>
              <w:spacing w:after="0" w:line="245" w:lineRule="auto"/>
            </w:pPr>
            <w:r/>
            <w:r>
              <w:rPr>
                <w:b w:val="0"/>
                <w:sz w:val="16"/>
              </w:rPr>
              <w:t>Old PDF did not use the formal rolling out-of-sample test.</w:t>
            </w:r>
          </w:p>
        </w:tc>
        <w:tc>
          <w:tcPr>
            <w:tcW w:type="dxa" w:w="4365"/>
            <w:vAlign w:val="center"/>
            <w:shd w:fill="FAFBFD"/>
          </w:tcPr>
          <w:p>
            <w:pPr>
              <w:spacing w:after="0" w:line="245" w:lineRule="auto"/>
            </w:pPr>
            <w:r/>
            <w:r>
              <w:rPr>
                <w:b w:val="0"/>
                <w:sz w:val="16"/>
              </w:rPr>
              <w:t>Formal values: OOS annualized return 16.62%; OOS Sharpe 1.100; OOS hit rate 48.48%; OOS excess -0.06%.</w:t>
            </w:r>
          </w:p>
        </w:tc>
        <w:tc>
          <w:tcPr>
            <w:tcW w:type="dxa" w:w="4535"/>
            <w:vAlign w:val="center"/>
            <w:shd w:fill="FAFBFD"/>
          </w:tcPr>
          <w:p>
            <w:pPr>
              <w:spacing w:after="0" w:line="245" w:lineRule="auto"/>
            </w:pPr>
            <w:r/>
            <w:r>
              <w:rPr>
                <w:b w:val="0"/>
                <w:sz w:val="16"/>
              </w:rPr>
              <w:t>Final wording: Rolling out-of-sample evidence is good in absolute terms, with a 16.62% OOS annualized return and a 1.100 OOS Sharpe ratio, while benchmark-relative OOS excess is close to flat at -0.06%.</w:t>
            </w:r>
          </w:p>
        </w:tc>
      </w:tr>
      <w:tr>
        <w:tc>
          <w:tcPr>
            <w:tcW w:type="dxa" w:w="2324"/>
            <w:vAlign w:val="center"/>
            <w:shd w:fill="EEF3FA"/>
          </w:tcPr>
          <w:p>
            <w:pPr>
              <w:spacing w:after="0" w:line="245" w:lineRule="auto"/>
            </w:pPr>
            <w:r/>
            <w:r>
              <w:rPr>
                <w:b w:val="0"/>
                <w:sz w:val="16"/>
              </w:rPr>
              <w:t>Test 13 Empirical mean/covariance Monte Carlo</w:t>
            </w:r>
          </w:p>
        </w:tc>
        <w:tc>
          <w:tcPr>
            <w:tcW w:type="dxa" w:w="4365"/>
            <w:vAlign w:val="center"/>
          </w:tcPr>
          <w:p>
            <w:pPr>
              <w:spacing w:after="0" w:line="245" w:lineRule="auto"/>
            </w:pPr>
            <w:r/>
            <w:r>
              <w:rPr>
                <w:b w:val="0"/>
                <w:sz w:val="16"/>
              </w:rPr>
              <w:t>Old PDF used earlier GARCH-style stochastic figures, including base 14.05% return / 0.844 Sharpe and severe-volatility stress turning negative.</w:t>
            </w:r>
          </w:p>
        </w:tc>
        <w:tc>
          <w:tcPr>
            <w:tcW w:type="dxa" w:w="4365"/>
            <w:vAlign w:val="center"/>
          </w:tcPr>
          <w:p>
            <w:pPr>
              <w:spacing w:after="0" w:line="245" w:lineRule="auto"/>
            </w:pPr>
            <w:r/>
            <w:r>
              <w:rPr>
                <w:b w:val="0"/>
                <w:sz w:val="16"/>
              </w:rPr>
              <w:t>Formal values: P50 annualized return 12.37%; P50 Sharpe 0.768; P50 MDD 18.54%; positive-return probability 94.45%.</w:t>
            </w:r>
          </w:p>
        </w:tc>
        <w:tc>
          <w:tcPr>
            <w:tcW w:type="dxa" w:w="4535"/>
            <w:vAlign w:val="center"/>
          </w:tcPr>
          <w:p>
            <w:pPr>
              <w:spacing w:after="0" w:line="245" w:lineRule="auto"/>
            </w:pPr>
            <w:r/>
            <w:r>
              <w:rPr>
                <w:b w:val="0"/>
                <w:sz w:val="16"/>
              </w:rPr>
              <w:t>Final wording: Empirical Monte Carlo evidence remains supportive, with a 12.37% median annualized return, a 0.768 median Sharpe ratio, and a 94.45% positive-return probability.</w:t>
            </w:r>
          </w:p>
        </w:tc>
      </w:tr>
      <w:tr>
        <w:tc>
          <w:tcPr>
            <w:tcW w:type="dxa" w:w="2324"/>
            <w:vAlign w:val="center"/>
            <w:shd w:fill="EEF3FA"/>
          </w:tcPr>
          <w:p>
            <w:pPr>
              <w:spacing w:after="0" w:line="245" w:lineRule="auto"/>
            </w:pPr>
            <w:r/>
            <w:r>
              <w:rPr>
                <w:b w:val="0"/>
                <w:sz w:val="16"/>
              </w:rPr>
              <w:t>Final scorecard</w:t>
            </w:r>
          </w:p>
        </w:tc>
        <w:tc>
          <w:tcPr>
            <w:tcW w:type="dxa" w:w="4365"/>
            <w:vAlign w:val="center"/>
            <w:shd w:fill="FAFBFD"/>
          </w:tcPr>
          <w:p>
            <w:pPr>
              <w:spacing w:after="0" w:line="245" w:lineRule="auto"/>
            </w:pPr>
            <w:r/>
            <w:r>
              <w:rPr>
                <w:b w:val="0"/>
                <w:sz w:val="16"/>
              </w:rPr>
              <w:t>Old report tone implied a stronger robustness pass profile.</w:t>
            </w:r>
          </w:p>
        </w:tc>
        <w:tc>
          <w:tcPr>
            <w:tcW w:type="dxa" w:w="4365"/>
            <w:vAlign w:val="center"/>
            <w:shd w:fill="FAFBFD"/>
          </w:tcPr>
          <w:p>
            <w:pPr>
              <w:spacing w:after="0" w:line="245" w:lineRule="auto"/>
            </w:pPr>
            <w:r/>
            <w:r>
              <w:rPr>
                <w:b w:val="0"/>
                <w:sz w:val="16"/>
              </w:rPr>
              <w:t>Formal values: 3 of 5 criteria pass. Pass: positive long-run excess return, risk-adjusted metrics versus static baseline, and 25 bps cost survival. Fail: lower stress drawdown than static baseline and positive stress-period excess versus static baseline.</w:t>
            </w:r>
          </w:p>
        </w:tc>
        <w:tc>
          <w:tcPr>
            <w:tcW w:type="dxa" w:w="4535"/>
            <w:vAlign w:val="center"/>
            <w:shd w:fill="FAFBFD"/>
          </w:tcPr>
          <w:p>
            <w:pPr>
              <w:spacing w:after="0" w:line="245" w:lineRule="auto"/>
            </w:pPr>
            <w:r/>
            <w:r>
              <w:rPr>
                <w:b w:val="0"/>
                <w:sz w:val="16"/>
              </w:rPr>
              <w:t>Final wording: The final robustness conclusion is balanced. The formal strategy has a positive active-return case, survives transaction-cost stress, and beats the static baseline on key risk-adjusted metrics, but it does not pass the stress-period static-baseline tests. The final scorecard is 3/5.</w:t>
            </w:r>
          </w:p>
        </w:tc>
      </w:tr>
      <w:tr>
        <w:tc>
          <w:tcPr>
            <w:tcW w:type="dxa" w:w="2324"/>
            <w:vAlign w:val="center"/>
            <w:shd w:fill="EEF3FA"/>
          </w:tcPr>
          <w:p>
            <w:pPr>
              <w:spacing w:after="0" w:line="245" w:lineRule="auto"/>
            </w:pPr>
            <w:r/>
            <w:r>
              <w:rPr>
                <w:b w:val="0"/>
                <w:sz w:val="16"/>
              </w:rPr>
              <w:t>Acceptance criteria details</w:t>
            </w:r>
          </w:p>
        </w:tc>
        <w:tc>
          <w:tcPr>
            <w:tcW w:type="dxa" w:w="4365"/>
            <w:vAlign w:val="center"/>
          </w:tcPr>
          <w:p>
            <w:pPr>
              <w:spacing w:after="0" w:line="245" w:lineRule="auto"/>
            </w:pPr>
            <w:r/>
            <w:r>
              <w:rPr>
                <w:b w:val="0"/>
                <w:sz w:val="16"/>
              </w:rPr>
              <w:t>Old text did not reflect the corrected 25 bps scorecard status.</w:t>
            </w:r>
          </w:p>
        </w:tc>
        <w:tc>
          <w:tcPr>
            <w:tcW w:type="dxa" w:w="4365"/>
            <w:vAlign w:val="center"/>
          </w:tcPr>
          <w:p>
            <w:pPr>
              <w:spacing w:after="0" w:line="245" w:lineRule="auto"/>
            </w:pPr>
            <w:r/>
            <w:r>
              <w:rPr>
                <w:b w:val="0"/>
                <w:sz w:val="16"/>
              </w:rPr>
              <w:t>Formal values: criterion 1 Pass; criterion 2 Fail; criterion 3 Pass; criterion 4 Pass; criterion 5 Fail.</w:t>
            </w:r>
          </w:p>
        </w:tc>
        <w:tc>
          <w:tcPr>
            <w:tcW w:type="dxa" w:w="4535"/>
            <w:vAlign w:val="center"/>
          </w:tcPr>
          <w:p>
            <w:pPr>
              <w:spacing w:after="0" w:line="245" w:lineRule="auto"/>
            </w:pPr>
            <w:r/>
            <w:r>
              <w:rPr>
                <w:b w:val="0"/>
                <w:sz w:val="16"/>
              </w:rPr>
              <w:t>Final wording: The 25 bps cost criterion is a pass. The two failed criteria are stress drawdown versus the static baseline and stress-period excess return versus the static baseline.</w:t>
            </w:r>
          </w:p>
        </w:tc>
      </w:tr>
    </w:tbl>
    <w:p/>
    <w:sectPr w:rsidR="00FC693F" w:rsidRPr="0006063C" w:rsidSect="00034616">
      <w:footerReference w:type="default" r:id="rId9"/>
      <w:pgSz w:w="16838" w:h="11906" w:orient="landscape"/>
      <w:pgMar w:top="709" w:right="709" w:bottom="624"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Final robustness wording table | generated from formal 6905 outputs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92D4B"/>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92D4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92D4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RevisionTable">
    <w:name w:val="Revision Table"/>
    <w:basedOn w:val="TableGrid"/>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