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Latest Robustness Evidence Checklist</w:t>
      </w:r>
    </w:p>
    <w:p>
      <w:pPr>
        <w:pStyle w:val="Subtitle"/>
        <w:jc w:val="center"/>
      </w:pPr>
      <w:r>
        <w:t>CW2 Formal Portfolio Analysis Report | Formal baseline run 6905e84b-9e16-4106-8c0f-cd9ecce56728</w:t>
      </w:r>
    </w:p>
    <w:tbl>
      <w:tblPr>
        <w:tblStyle w:val="CalloutTable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EF4FF"/>
          </w:tcPr>
          <w:p>
            <w:pPr>
              <w:spacing w:after="80"/>
            </w:pPr>
            <w:r>
              <w:rPr>
                <w:b/>
                <w:color w:val="1F3A5F"/>
                <w:sz w:val="21"/>
              </w:rPr>
              <w:t>Status confirmation</w:t>
            </w:r>
          </w:p>
          <w:p>
            <w:pPr>
              <w:spacing w:after="0"/>
            </w:pPr>
            <w:r>
              <w:rPr>
                <w:sz w:val="20"/>
              </w:rPr>
              <w:t>Part 1 to Part 5 have been generated from the formal slim data package. The evidence index contains 17 report rows, and the centralized formal NAV reference figure exists at outputs/robustness/report_evidence/shared/formal_baseline_nav_reference.png. The run is quarterly target generation and quarterly execution, with monthly holding-period performance records.</w:t>
            </w:r>
          </w:p>
        </w:tc>
      </w:tr>
    </w:tbl>
    <w:p/>
    <w:p>
      <w:pPr>
        <w:pStyle w:val="Heading1"/>
      </w:pPr>
      <w:r>
        <w:rPr>
          <w:rFonts w:ascii="Aptos Display" w:hAnsi="Aptos Display" w:eastAsia="Aptos Display"/>
          <w:color w:val="1F3A5F"/>
        </w:rPr>
        <w:t>1. Formal Baseline Reference</w:t>
      </w:r>
    </w:p>
    <w:tbl>
      <w:tblPr>
        <w:tblStyle w:val="ChecklistTable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948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6236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Latest formal reading</w:t>
            </w:r>
          </w:p>
        </w:tc>
      </w:tr>
      <w:tr>
        <w:tc>
          <w:tcPr>
            <w:tcW w:type="dxa" w:w="2948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Formal portfolio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cw2_formal_20260420_fund_ra3_s30_t50</w:t>
            </w:r>
          </w:p>
        </w:tc>
      </w:tr>
      <w:tr>
        <w:tc>
          <w:tcPr>
            <w:tcW w:type="dxa" w:w="2948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Formal run id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6905e84b-9e16-4106-8c0f-cd9ecce56728</w:t>
            </w:r>
          </w:p>
        </w:tc>
      </w:tr>
      <w:tr>
        <w:tc>
          <w:tcPr>
            <w:tcW w:type="dxa" w:w="2948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Cadence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Quarterly target generation and quarterly rebalance; monthly performance measurement.</w:t>
            </w:r>
          </w:p>
        </w:tc>
      </w:tr>
      <w:tr>
        <w:tc>
          <w:tcPr>
            <w:tcW w:type="dxa" w:w="2948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Total return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74.12%</w:t>
            </w:r>
          </w:p>
        </w:tc>
      </w:tr>
      <w:tr>
        <w:tc>
          <w:tcPr>
            <w:tcW w:type="dxa" w:w="2948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Annualized return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11.94%</w:t>
            </w:r>
          </w:p>
        </w:tc>
      </w:tr>
      <w:tr>
        <w:tc>
          <w:tcPr>
            <w:tcW w:type="dxa" w:w="2948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Annualized volatility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15.82%</w:t>
            </w:r>
          </w:p>
        </w:tc>
      </w:tr>
      <w:tr>
        <w:tc>
          <w:tcPr>
            <w:tcW w:type="dxa" w:w="2948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Sharpe / Sortino / IR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0.582 / 0.917 / 0.126</w:t>
            </w:r>
          </w:p>
        </w:tc>
      </w:tr>
      <w:tr>
        <w:tc>
          <w:tcPr>
            <w:tcW w:type="dxa" w:w="2948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Max drawdown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17.13%</w:t>
            </w:r>
          </w:p>
        </w:tc>
      </w:tr>
      <w:tr>
        <w:tc>
          <w:tcPr>
            <w:tcW w:type="dxa" w:w="2948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Turnover and cost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Avg monthly recorded turnover 15.35%; annualized one-way turnover 184.23%; total cost drag 0.55%.</w:t>
            </w:r>
          </w:p>
        </w:tc>
      </w:tr>
    </w:tbl>
    <w:p/>
    <w:tbl>
      <w:tblPr>
        <w:tblStyle w:val="CalloutTable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7E8"/>
          </w:tcPr>
          <w:p>
            <w:pPr>
              <w:spacing w:after="80"/>
            </w:pPr>
            <w:r>
              <w:rPr>
                <w:b/>
                <w:color w:val="1F3A5F"/>
                <w:sz w:val="21"/>
              </w:rPr>
              <w:t>Revision note versus the older PDF</w:t>
            </w:r>
          </w:p>
          <w:p>
            <w:pPr>
              <w:spacing w:after="0"/>
            </w:pPr>
            <w:r>
              <w:rPr>
                <w:sz w:val="20"/>
              </w:rPr>
              <w:t>The new formal baseline is lower than the earlier report version: annualized return is about 11.94%, Sharpe is 0.582, and max drawdown is about 17.13%. The report should therefore avoid over-claiming a high-Sharpe profile and should frame the result as positive but equity-like.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tos Display" w:hAnsi="Aptos Display" w:eastAsia="Aptos Display"/>
          <w:color w:val="1F3A5F"/>
        </w:rPr>
        <w:t>2. Part 1 - Deterministic Sensitivity Checklist</w:t>
      </w:r>
    </w:p>
    <w:tbl>
      <w:tblPr>
        <w:tblStyle w:val="ChecklistTable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84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1984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Latest scenario</w:t>
            </w:r>
          </w:p>
        </w:tc>
        <w:tc>
          <w:tcPr>
            <w:tcW w:type="dxa" w:w="2835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Latest metric reading</w:t>
            </w:r>
          </w:p>
        </w:tc>
        <w:tc>
          <w:tcPr>
            <w:tcW w:type="dxa" w:w="2835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Report implication</w:t>
            </w:r>
          </w:p>
        </w:tc>
      </w:tr>
      <w:tr>
        <w:tc>
          <w:tcPr>
            <w:tcW w:type="dxa" w:w="198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Test 1 Cost sensitivity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cost_25bps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Ann. return 11.57%; Sharpe 0.561; MDD 17.35%; Excess vs Universe EW 2.21%.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Still passes the cost-survival logic, but the margin is thinner than in the old report.</w:t>
            </w:r>
          </w:p>
        </w:tc>
      </w:tr>
      <w:tr>
        <w:tc>
          <w:tcPr>
            <w:tcW w:type="dxa" w:w="198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Test 2 Backtest window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window_minus_6m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Ann. return 10.78%; Sharpe 0.554; MDD 17.13%; Excess vs Universe EW 1.42%.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Return and Sharpe remain positive across date shifts; use as a stability check, not as the main headline.</w:t>
            </w:r>
          </w:p>
        </w:tc>
      </w:tr>
      <w:tr>
        <w:tc>
          <w:tcPr>
            <w:tcW w:type="dxa" w:w="198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Test 3 Concentration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concentration_tighter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Ann. return 11.09%; Sharpe 0.528; MDD 19.57%; Excess vs Universe EW 1.73%.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conclusion is now that the signal is not dependent on one exact holding count; tighter is slightly better in this run.</w:t>
            </w:r>
          </w:p>
        </w:tc>
      </w:tr>
      <w:tr>
        <w:tc>
          <w:tcPr>
            <w:tcW w:type="dxa" w:w="198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Test 4 Factor weights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factor_value_up_5pct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Ann. return 12.94%; Sharpe 0.636; MDD 15.70%; Excess vs Universe EW 3.58%.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most informative key scenario suggests value tilt helps; do not reuse old full factor-removal numbers unless rerun.</w:t>
            </w:r>
          </w:p>
        </w:tc>
      </w:tr>
      <w:tr>
        <w:tc>
          <w:tcPr>
            <w:tcW w:type="dxa" w:w="198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Test 5 Regime threshold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regime_mainline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Ann. return 10.85%; Sharpe 0.515; MDD 19.57%; Excess vs Universe EW 1.49%.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Regime switching still improves the disabled case, but the absolute level is lower than the old PDF.</w:t>
            </w:r>
          </w:p>
        </w:tc>
      </w:tr>
      <w:tr>
        <w:tc>
          <w:tcPr>
            <w:tcW w:type="dxa" w:w="198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Test 6 Drawdown brake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brake_off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Ann. return 11.94%; Sharpe 0.582; MDD 17.13%; Excess vs Universe EW 2.58%.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Drawdown brakes trade return for lower drawdown; the formal mainline should be described as no active brake effect.</w:t>
            </w:r>
          </w:p>
        </w:tc>
      </w:tr>
      <w:tr>
        <w:tc>
          <w:tcPr>
            <w:tcW w:type="dxa" w:w="198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Test 7 Incumbent band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band_medium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Ann. return 11.19%; Sharpe 0.537; MDD 18.52%; Excess vs Universe EW 1.83%.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Band settings are moderately stable; avoid the old claim that no band is clearly strongest.</w:t>
            </w:r>
          </w:p>
        </w:tc>
      </w:tr>
      <w:tr>
        <w:tc>
          <w:tcPr>
            <w:tcW w:type="dxa" w:w="198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Test 8 Trade constraints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trade_constraint_strong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Ann. return 10.94%; Sharpe 0.519; MDD 19.58%; Excess vs Universe EW 1.58%.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Trade constraints are not the source of the return; the variants stay close to one another.</w:t>
            </w:r>
          </w:p>
        </w:tc>
      </w:tr>
    </w:tbl>
    <w:p/>
    <w:p>
      <w:pPr>
        <w:pStyle w:val="Heading1"/>
      </w:pPr>
      <w:r>
        <w:rPr>
          <w:rFonts w:ascii="Aptos Display" w:hAnsi="Aptos Display" w:eastAsia="Aptos Display"/>
          <w:color w:val="1F3A5F"/>
        </w:rPr>
        <w:t>3. Part 2 - Ablation Checklist</w:t>
      </w:r>
    </w:p>
    <w:tbl>
      <w:tblPr>
        <w:tblStyle w:val="ChecklistTable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54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1928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Latest scenario</w:t>
            </w:r>
          </w:p>
        </w:tc>
        <w:tc>
          <w:tcPr>
            <w:tcW w:type="dxa" w:w="2835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Latest metric reading</w:t>
            </w:r>
          </w:p>
        </w:tc>
        <w:tc>
          <w:tcPr>
            <w:tcW w:type="dxa" w:w="2721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Report implication</w:t>
            </w:r>
          </w:p>
        </w:tc>
      </w:tr>
      <w:tr>
        <w:tc>
          <w:tcPr>
            <w:tcW w:type="dxa" w:w="215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Regime switch ablation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no_regime_switch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Ann. return 9.00%; Sharpe 0.424; MDD 17.66%; Excess vs Universe EW -0.37%.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regime switch remains a meaningful contributor because disabling it weakens return and Sharpe.</w:t>
            </w:r>
          </w:p>
        </w:tc>
      </w:tr>
      <w:tr>
        <w:tc>
          <w:tcPr>
            <w:tcW w:type="dxa" w:w="215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Risk overlay ablation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no_risk_overlay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Ann. return 16.49%; Sharpe 0.762; MDD 20.20%; Excess vs Universe EW 7.12%.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Removing the overlay raises return but also raises drawdown; present the overlay as defensive risk control, not pure return maximization.</w:t>
            </w:r>
          </w:p>
        </w:tc>
      </w:tr>
      <w:tr>
        <w:tc>
          <w:tcPr>
            <w:tcW w:type="dxa" w:w="215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Sector constraint ablation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no_sector_constraint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Ann. return 10.85%; Sharpe 0.514; MDD 19.57%; Excess vs Universe EW 1.48%.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Sector constraints are mildly useful in the formal setup; removing them weakens the latest result.</w:t>
            </w:r>
          </w:p>
        </w:tc>
      </w:tr>
      <w:tr>
        <w:tc>
          <w:tcPr>
            <w:tcW w:type="dxa" w:w="215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Inactive implementation toggles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no_intraday_trigger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Ann. return 11.94%; Sharpe 0.582; MDD 17.13%; Excess vs Universe EW 2.58%.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Intraday trigger and liquidity clipping are effectively non-binding in the formal baseline; do not make them major evidence claims.</w:t>
            </w:r>
          </w:p>
        </w:tc>
      </w:tr>
    </w:tbl>
    <w:p/>
    <w:tbl>
      <w:tblPr>
        <w:tblStyle w:val="CalloutTable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7E8"/>
          </w:tcPr>
          <w:p>
            <w:pPr>
              <w:spacing w:after="80"/>
            </w:pPr>
            <w:r>
              <w:rPr>
                <w:b/>
                <w:color w:val="1F3A5F"/>
                <w:sz w:val="21"/>
              </w:rPr>
              <w:t>Scope caution</w:t>
            </w:r>
          </w:p>
          <w:p>
            <w:pPr>
              <w:spacing w:after="0"/>
            </w:pPr>
            <w:r>
              <w:rPr>
                <w:sz w:val="20"/>
              </w:rPr>
              <w:t>The latest formal fast run completed Block B module ablations. The older PDF's value-factor removal ablation should be treated as obsolete unless that exact ablation is rerun on the formal slim baseline.</w:t>
            </w:r>
          </w:p>
        </w:tc>
      </w:tr>
    </w:tbl>
    <w:p/>
    <w:p>
      <w:pPr>
        <w:pStyle w:val="Heading1"/>
      </w:pPr>
      <w:r>
        <w:rPr>
          <w:rFonts w:ascii="Aptos Display" w:hAnsi="Aptos Display" w:eastAsia="Aptos Display"/>
          <w:color w:val="1F3A5F"/>
        </w:rPr>
        <w:t>4. Part 3 - Subperiod and Regime Checklist</w:t>
      </w:r>
    </w:p>
    <w:tbl>
      <w:tblPr>
        <w:tblStyle w:val="ChecklistTable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84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1814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Comparator</w:t>
            </w:r>
          </w:p>
        </w:tc>
        <w:tc>
          <w:tcPr>
            <w:tcW w:type="dxa" w:w="2948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Latest reading</w:t>
            </w:r>
          </w:p>
        </w:tc>
        <w:tc>
          <w:tcPr>
            <w:tcW w:type="dxa" w:w="2948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Report implication</w:t>
            </w:r>
          </w:p>
        </w:tc>
      </w:tr>
      <w:tr>
        <w:tc>
          <w:tcPr>
            <w:tcW w:type="dxa" w:w="198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Normal regime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static_baseline / universe_ew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Strategy ann. return 17.08%; excess vs static 5.43%; excess vs Universe EW 2.21%.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Keep the positive normal-regime language.</w:t>
            </w:r>
          </w:p>
        </w:tc>
      </w:tr>
      <w:tr>
        <w:tc>
          <w:tcPr>
            <w:tcW w:type="dxa" w:w="198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Stress regime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static_baseline / universe_ew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Strategy ann. return -15.91%; excess vs static -1.03%; excess vs Universe EW 4.10%.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This is the largest logic change: avoid claiming stress outperformance against every benchmark.</w:t>
            </w:r>
          </w:p>
        </w:tc>
      </w:tr>
      <w:tr>
        <w:tc>
          <w:tcPr>
            <w:tcW w:type="dxa" w:w="198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All-period regime summary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static_baseline / universe_ew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Strategy ann. return 11.94%; excess vs static 4.32%; excess vs Universe EW 2.58%.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this as the bridge between the baseline result and the regime-specific caveat.</w:t>
            </w:r>
          </w:p>
        </w:tc>
      </w:tr>
      <w:tr>
        <w:tc>
          <w:tcPr>
            <w:tcW w:type="dxa" w:w="198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2022 Bear window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SPY / static / universe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Ann. return 1.49%; Sharpe 0.075; MDD 17.13%; excess vs SPY 9.70%.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Absolute return is weak, but benchmark-relative protection is positive.</w:t>
            </w:r>
          </w:p>
        </w:tc>
      </w:tr>
      <w:tr>
        <w:tc>
          <w:tcPr>
            <w:tcW w:type="dxa" w:w="198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2024 Bull window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SPY / static / universe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Ann. return 36.07%; Sharpe 2.650; MDD 4.97%; excess vs SPY 2.82%.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Strongest absolute window; useful as upside-participation evidence.</w:t>
            </w:r>
          </w:p>
        </w:tc>
      </w:tr>
      <w:tr>
        <w:tc>
          <w:tcPr>
            <w:tcW w:type="dxa" w:w="198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2025-2026 Recent window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SPY / static / universe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Ann. return 7.59%; Sharpe 0.530; MDD 7.65%; excess vs SPY -0.18%.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Recent performance is acceptable but not a clean relative win; write this with restraint.</w:t>
            </w:r>
          </w:p>
        </w:tc>
      </w:tr>
    </w:tbl>
    <w:p/>
    <w:p>
      <w:pPr>
        <w:pStyle w:val="Heading1"/>
      </w:pPr>
      <w:r>
        <w:rPr>
          <w:rFonts w:ascii="Aptos Display" w:hAnsi="Aptos Display" w:eastAsia="Aptos Display"/>
          <w:color w:val="1F3A5F"/>
        </w:rPr>
        <w:t>5. Part 4 - Stochastic Robustness Checklist</w:t>
      </w:r>
    </w:p>
    <w:tbl>
      <w:tblPr>
        <w:tblStyle w:val="ChecklistTable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98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Checklist item</w:t>
            </w:r>
          </w:p>
        </w:tc>
        <w:tc>
          <w:tcPr>
            <w:tcW w:type="dxa" w:w="2041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Latest scenario</w:t>
            </w:r>
          </w:p>
        </w:tc>
        <w:tc>
          <w:tcPr>
            <w:tcW w:type="dxa" w:w="2948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Latest metric reading</w:t>
            </w:r>
          </w:p>
        </w:tc>
        <w:tc>
          <w:tcPr>
            <w:tcW w:type="dxa" w:w="2721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Report implication</w:t>
            </w:r>
          </w:p>
        </w:tc>
      </w:tr>
      <w:tr>
        <w:tc>
          <w:tcPr>
            <w:tcW w:type="dxa" w:w="2098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Test 9 Stationary bootstrap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stationary_block_bootstrap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P50 ann. return 12.51%; P50 Sharpe 0.788; P50 MDD 15.50%; positive-return probability 98.95%.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Still supports a positive-return distribution, but at a lower median return and Sharpe than the old PDF.</w:t>
            </w:r>
          </w:p>
        </w:tc>
      </w:tr>
      <w:tr>
        <w:tc>
          <w:tcPr>
            <w:tcW w:type="dxa" w:w="2098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Test 10 Cost perturbation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flat_extra_25bps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P50 ann. return 11.45%; P50 Sharpe 0.712; P50 MDD 17.71%; positive-return probability 100.00%.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Execution-cost stress remains positive; use it as transaction-cost resilience evidence.</w:t>
            </w:r>
          </w:p>
        </w:tc>
      </w:tr>
      <w:tr>
        <w:tc>
          <w:tcPr>
            <w:tcW w:type="dxa" w:w="2098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Test 11 Factor-neighbourhood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tight / medium / loose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loose: ann. return 10.81%, Sharpe 0.519; medium: ann. return 11.58%, Sharpe 0.563; tight: ann. return 10.54%, Sharpe 0.501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as local factor-weight robustness only because each band has a small rerun count.</w:t>
            </w:r>
          </w:p>
        </w:tc>
      </w:tr>
      <w:tr>
        <w:tc>
          <w:tcPr>
            <w:tcW w:type="dxa" w:w="2098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Test 12 Rolling OOS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rolling_24p_is_1p_oos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OOS ann. return 16.62%; OOS Sharpe 1.100; OOS hit rate 48.48%; OOS excess -0.06%.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Absolute OOS performance is good, but benchmark-relative OOS excess is near flat; avoid overstating OOS alpha.</w:t>
            </w:r>
          </w:p>
        </w:tc>
      </w:tr>
      <w:tr>
        <w:tc>
          <w:tcPr>
            <w:tcW w:type="dxa" w:w="2098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Test 13 Empirical MC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empirical_mean_covariance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P50 ann. return 12.37%; P50 Sharpe 0.768; P50 MDD 18.54%; positive-return probability 94.45%.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Distributional stress remains broadly supportive and should sit behind the deterministic evidence.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tos Display" w:hAnsi="Aptos Display" w:eastAsia="Aptos Display"/>
          <w:color w:val="1F3A5F"/>
        </w:rPr>
        <w:t>6. Part 5 - Packaging, Acceptance, and Scorecard</w:t>
      </w:r>
    </w:p>
    <w:tbl>
      <w:tblPr>
        <w:tblStyle w:val="ChecklistTable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34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948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1417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Latest status</w:t>
            </w:r>
          </w:p>
        </w:tc>
        <w:tc>
          <w:tcPr>
            <w:tcW w:type="dxa" w:w="3685"/>
            <w:shd w:fill="1F3A5F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Evidence note</w:t>
            </w:r>
          </w:p>
        </w:tc>
      </w:tr>
      <w:tr>
        <w:tc>
          <w:tcPr>
            <w:tcW w:type="dxa" w:w="113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Positive long-run excess return vs primary benchmark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Primary-benchmark excess return is +0.84% annualized.</w:t>
            </w:r>
          </w:p>
        </w:tc>
      </w:tr>
      <w:tr>
        <w:tc>
          <w:tcPr>
            <w:tcW w:type="dxa" w:w="113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Lower stress max drawdown than static baseline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Fail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Stress max drawdown is 13.18% versus 11.78% for the static baseline.</w:t>
            </w:r>
          </w:p>
        </w:tc>
      </w:tr>
      <w:tr>
        <w:tc>
          <w:tcPr>
            <w:tcW w:type="dxa" w:w="113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At least two of Sharpe, Sortino, IR beat static baseline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Sharpe, Sortino, and IR all beat the static baseline.</w:t>
            </w:r>
          </w:p>
        </w:tc>
      </w:tr>
      <w:tr>
        <w:tc>
          <w:tcPr>
            <w:tcW w:type="dxa" w:w="113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Excess return survives 25 bps cost robustness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25 bps cost scenario keeps +2.21% annualized excess, 11.57% annualized return, and 0.561 Sharpe.</w:t>
            </w:r>
          </w:p>
        </w:tc>
      </w:tr>
      <w:tr>
        <w:tc>
          <w:tcPr>
            <w:tcW w:type="dxa" w:w="1134"/>
            <w:vAlign w:val="center"/>
            <w:shd w:fill="F3F6FB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Positive stress-period excess return vs static baseline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Fail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Stress-period excess versus static baseline is -1.03%.</w:t>
            </w:r>
          </w:p>
        </w:tc>
      </w:tr>
    </w:tbl>
    <w:p/>
    <w:tbl>
      <w:tblPr>
        <w:tblStyle w:val="CalloutTable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7EE"/>
          </w:tcPr>
          <w:p>
            <w:pPr>
              <w:spacing w:after="80"/>
            </w:pPr>
            <w:r>
              <w:rPr>
                <w:b/>
                <w:color w:val="1F3A5F"/>
                <w:sz w:val="21"/>
              </w:rPr>
              <w:t>Overall Part 5 reading</w:t>
            </w:r>
          </w:p>
          <w:p>
            <w:pPr>
              <w:spacing w:after="0"/>
            </w:pPr>
            <w:r>
              <w:rPr>
                <w:sz w:val="20"/>
              </w:rPr>
              <w:t>The latest scorecard is 3 out of 5 pass. The formal story is therefore not 'robust in every stress test'. A better wording is: the strategy has a positive active-return case, survives transaction-cost stress, and shows useful risk-adjusted evidence, but stress-period performance versus the static baseline should be treated as a weakness.</w:t>
            </w:r>
          </w:p>
        </w:tc>
      </w:tr>
    </w:tbl>
    <w:p/>
    <w:p>
      <w:pPr>
        <w:pStyle w:val="Heading1"/>
      </w:pPr>
      <w:r>
        <w:rPr>
          <w:rFonts w:ascii="Aptos Display" w:hAnsi="Aptos Display" w:eastAsia="Aptos Display"/>
          <w:color w:val="1F3A5F"/>
        </w:rPr>
        <w:t>7. Recommended Report Edits</w:t>
      </w:r>
    </w:p>
    <w:p>
      <w:pPr>
        <w:pStyle w:val="ListBullet"/>
      </w:pPr>
      <w:r>
        <w:t>Replace the older headline metrics with the formal baseline: total return 74.12%, annualized return 11.94%, Sharpe 0.582, IR 0.126, and max drawdown 17.13%.</w:t>
      </w:r>
    </w:p>
    <w:p>
      <w:pPr>
        <w:pStyle w:val="ListBullet"/>
      </w:pPr>
      <w:r>
        <w:t>Describe cadence precisely: quarterly target generation and quarterly execution, while monthly rows are holding-period performance records.</w:t>
      </w:r>
    </w:p>
    <w:p>
      <w:pPr>
        <w:pStyle w:val="ListBullet"/>
      </w:pPr>
      <w:r>
        <w:t>Keep transaction-cost sensitivity, but lower the confidence tone: 25 bps remains acceptable, 40 bps still positive but visibly weaker.</w:t>
      </w:r>
    </w:p>
    <w:p>
      <w:pPr>
        <w:pStyle w:val="ListBullet"/>
      </w:pPr>
      <w:r>
        <w:t>Move from a broad 'stress robustness' claim to a benchmark-specific claim: stress performance is better versus Universe EW but weaker versus static baseline.</w:t>
      </w:r>
    </w:p>
    <w:p>
      <w:pPr>
        <w:pStyle w:val="ListBullet"/>
      </w:pPr>
      <w:r>
        <w:t>Do not reuse the old value-factor-removal ablation as formal evidence unless it is rerun on the 6905 formal slim baseline.</w:t>
      </w:r>
    </w:p>
    <w:p>
      <w:pPr>
        <w:pStyle w:val="ListBullet"/>
      </w:pPr>
      <w:r>
        <w:t>Use the centralized formal NAV reference figure for report packaging when fast-mode per-scenario charts are intentionally not regenerated.</w:t>
      </w:r>
    </w:p>
    <w:p>
      <w:pPr>
        <w:sectPr>
          <w:footerReference w:type="default" r:id="rId10"/>
          <w:pgSz w:w="12240" w:h="15840"/>
          <w:pgMar w:top="964" w:right="935" w:bottom="850" w:left="935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ptos Display" w:hAnsi="Aptos Display" w:eastAsia="Aptos Display"/>
          <w:color w:val="1F3A5F"/>
        </w:rPr>
        <w:t>8. Centralized Formal Figure</w:t>
      </w:r>
    </w:p>
    <w:p>
      <w:r>
        <w:rPr>
          <w:b/>
        </w:rPr>
        <w:t>The formal evidence pack contains a centralized NAV reference figure for report packaging.</w:t>
      </w:r>
    </w:p>
    <w:p>
      <w:r>
        <w:drawing>
          <wp:inline xmlns:a="http://schemas.openxmlformats.org/drawingml/2006/main" xmlns:pic="http://schemas.openxmlformats.org/drawingml/2006/picture">
            <wp:extent cx="5852160" cy="3126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al_baseline_nav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6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Figure: formal_baseline_nav_reference.png</w:t>
      </w:r>
    </w:p>
    <w:sectPr w:rsidR="00FC693F" w:rsidRPr="0006063C" w:rsidSect="00034616">
      <w:pgSz w:w="12240" w:h="15840"/>
      <w:pgMar w:top="964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from formal slim robustness outputs | 2026-04-30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2466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4233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i/>
      <w:iCs/>
      <w:color w:val="5A6982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hecklistTable">
    <w:name w:val="Checklist Table"/>
    <w:basedOn w:val="TableGrid"/>
    <w:rPr>
      <w:rFonts w:ascii="Aptos" w:hAnsi="Aptos"/>
      <w:sz w:val="17"/>
    </w:rPr>
  </w:style>
  <w:style w:type="table" w:customStyle="1" w:styleId="CalloutTable">
    <w:name w:val="Callout Table"/>
    <w:basedOn w:val="TableGrid"/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