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SPY-Primary Robustness Comparison Against the Previous Report</w:t>
      </w:r>
    </w:p>
    <w:p>
      <w:pPr>
        <w:jc w:val="center"/>
      </w:pPr>
      <w:r>
        <w:rPr>
          <w:i/>
          <w:color w:val="53637D"/>
        </w:rPr>
        <w:t>Formal baseline run 6905e84b-9e16-4106-8c0f-cd9ecce56728 | comparison source: CW2_version_IFTE0003_TeamPearson_Report.pdf</w:t>
      </w:r>
    </w:p>
    <w:p>
      <w:pPr>
        <w:spacing w:after="100"/>
      </w:pPr>
      <w:r>
        <w:rPr>
          <w:b w:val="0"/>
        </w:rPr>
        <w:t>Purpose: this document rebuilds the robustness comparison using SPY as the primary baseline. The previous PDF often used universe_ew or static_baseline as the main comparator, so each item below records the old report basis, the formal 6905 SPY result, and the resulting interpretation.</w:t>
      </w:r>
    </w:p>
    <w:tbl>
      <w:tblPr>
        <w:tblStyle w:val="SPYComparison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535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Previous PDF value / basis</w:t>
            </w:r>
          </w:p>
        </w:tc>
        <w:tc>
          <w:tcPr>
            <w:tcW w:type="dxa" w:w="4252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Formal 6905 SPY-primary value</w:t>
            </w:r>
          </w:p>
        </w:tc>
        <w:tc>
          <w:tcPr>
            <w:tcW w:type="dxa" w:w="4422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Comparison result</w:t>
            </w:r>
          </w:p>
        </w:tc>
      </w:tr>
      <w:tr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Benchmark basis</w:t>
            </w:r>
          </w:p>
        </w:tc>
        <w:tc>
          <w:tcPr>
            <w:tcW w:type="dxa" w:w="45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PDF: universe_ew was treated as the primary benchmark; SPY was the external market benchmark.</w:t>
            </w:r>
          </w:p>
        </w:tc>
        <w:tc>
          <w:tcPr>
            <w:tcW w:type="dxa" w:w="425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6905: SPY is treated as the primary baseline for this comparison.</w:t>
            </w:r>
          </w:p>
        </w:tc>
        <w:tc>
          <w:tcPr>
            <w:tcW w:type="dxa" w:w="442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interpretation becomes stricter. Internal benchmark strength no longer carries the headline conclusion.</w:t>
            </w:r>
          </w:p>
        </w:tc>
      </w:tr>
      <w:tr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Full-period SPY excess</w:t>
            </w:r>
          </w:p>
        </w:tc>
        <w:tc>
          <w:tcPr>
            <w:tcW w:type="dxa" w:w="45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PDF: +11.57% total excess and +2.50% annualized excess vs SPY.</w:t>
            </w:r>
          </w:p>
        </w:tc>
        <w:tc>
          <w:tcPr>
            <w:tcW w:type="dxa" w:w="425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Formal: +3.79% total excess and +0.84% annualized excess vs SPY.</w:t>
            </w:r>
          </w:p>
        </w:tc>
        <w:tc>
          <w:tcPr>
            <w:tcW w:type="dxa" w:w="442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Annualized SPY excess falls by 1.66 pp; the conclusion remains positive but materially thinner.</w:t>
            </w:r>
          </w:p>
        </w:tc>
      </w:tr>
      <w:tr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SPY drawdown and hit rate</w:t>
            </w:r>
          </w:p>
        </w:tc>
        <w:tc>
          <w:tcPr>
            <w:tcW w:type="dxa" w:w="45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PDF: hit rate 49.15%; drawdown advantage vs SPY 6.58 pp.</w:t>
            </w:r>
          </w:p>
        </w:tc>
        <w:tc>
          <w:tcPr>
            <w:tcW w:type="dxa" w:w="425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Formal: hit rate 50.85%; drawdown advantage vs SPY 5.24 pp.</w:t>
            </w:r>
          </w:p>
        </w:tc>
        <w:tc>
          <w:tcPr>
            <w:tcW w:type="dxa" w:w="442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Hit rate improves by 1.70 pp, while the drawdown advantage narrows by 1.34 pp.</w:t>
            </w:r>
          </w:p>
        </w:tc>
      </w:tr>
      <w:tr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Final robustness tone</w:t>
            </w:r>
          </w:p>
        </w:tc>
        <w:tc>
          <w:tcPr>
            <w:tcW w:type="dxa" w:w="45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tone: broad robustness, four of five scorecard items passing and one cost item listed as skipped.</w:t>
            </w:r>
          </w:p>
        </w:tc>
        <w:tc>
          <w:tcPr>
            <w:tcW w:type="dxa" w:w="425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SPY reading: 3/5 scorecard; cost survives at 25 bps, stress evidence is mixed, rolling OOS excess is near flat.</w:t>
            </w:r>
          </w:p>
        </w:tc>
        <w:tc>
          <w:tcPr>
            <w:tcW w:type="dxa" w:w="442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Final text needs a balanced SPY-primary conclusion: credible but not uniformly strong.</w:t>
            </w:r>
          </w:p>
        </w:tc>
      </w:tr>
    </w:tbl>
    <w:p/>
    <w:p>
      <w:pPr>
        <w:pStyle w:val="Heading1"/>
      </w:pPr>
      <w:r>
        <w:t>Part 1 - Deterministic Sensitivity</w:t>
      </w:r>
    </w:p>
    <w:tbl>
      <w:tblPr>
        <w:tblStyle w:val="SPYComparison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Robustness item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Previous PDF data / basis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Formal 6905 SPY result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Comparison and explanation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Baseline and full-period relative return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Section 4.3: +11.57% total excess, +2.50% annualized excess, 49.15% hit rate, and 6.58 pp lower MDD versus SPY.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6905: +3.79% total excess, +0.84% annualized excess, 50.85% hit rate, and 5.24 pp lower MDD versus SPY.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Positive SPY outperformance remains, but the active-return cushion is much smaller. The report text needs to describe market-relative value as modest, not strong.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Transaction-cost sensitivity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Section 5.2.1 reports cost sensitivity against EW; the residual-risk table says 25 bps compresses SPY excess from 2.50% to about 1.40%.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SPY: 10 bps 1.03%; 15 bps 0.84%; 25 bps 0.48%; 40 bps -0.07%.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25 bps test now passes versus SPY, but at only +0.48%. The 40 bps case turns slightly negative, so cost resilience is thin under the primary SPY baseline.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Regime-threshold sensitivity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Section 5.2.2 reports annual return and Sharpe only; no SPY-specific threshold table is given.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SPY range across threshold scenarios: -2.10% to -0.25%.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regime-threshold block does not provide robust SPY outperformance. It supports process control, while the primary-baseline result remains cautious.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Concentration, incumbent band, trade constraints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Sections 5.2.3-5.2.4 describe stable annual return and Sharpe, but do not report SPY-relative ranges.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SPY ranges: concentration -0.34% to -0.01%; incumbent band -0.38% to 0.10%; trade constraints -0.25% to -0.16%.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implementation settings remain stable operationally, but most SPY-relative excess values are flat or negative.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Factor-weight and drawdown-brake sensitivity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discusses regime and brake intuition but does not provide SPY-specific factor-weight or brake ranges.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SPY ranges: factor-weight scenarios -1.05% to 1.85%; drawdown-brake scenarios -4.08% to 0.84%.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Value-up is the clearest positive factor-weight case versus SPY, while aggressive braking reduces market-relative return.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2 - Ablation and Module Contribution</w:t>
      </w:r>
    </w:p>
    <w:tbl>
      <w:tblPr>
        <w:tblStyle w:val="SPYComparison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Robustness item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Previous PDF data / basis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Formal 6905 SPY result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Comparison and explanation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Ablation design basis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Section 5.4 focuses on factor contribution: removing the value factor gives 9.441% annualized return and 0.590 Sharpe versus 13.525% and 0.817 mainline.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6905 Block B focuses on module ablation: no-regime-switch, no-sector-constraint, and no-risk-overlay.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two ablation sets are not like-for-like. The old evidence is factor-contribution evidence; the formal SPY result is module-level robustness evidence.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Regime and sector modules versus SPY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states that the regime mechanism adds value, but it does not quantify the ablation against SPY.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SPY: no-regime-switch -2.10%; no-sector-constraint -0.25%.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Both ablations are negative versus SPY, so the regime and sector controls are important for primary-baseline competitiveness.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Risk overlay ablation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describes risk controls as protective; no SPY-specific risk-overlay ablation is reported.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SPY: no-risk-overlay 5.39% versus SPY, with max drawdown 20.20%.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Removing the risk overlay raises SPY-relative return but increases drawdown. The interpretation is a risk-return trade-off, not a clean improvement.</w:t>
            </w:r>
          </w:p>
        </w:tc>
      </w:tr>
    </w:tbl>
    <w:p/>
    <w:p>
      <w:pPr>
        <w:pStyle w:val="Heading1"/>
      </w:pPr>
      <w:r>
        <w:t>Part 3 - Regime and Subperiod Evidence</w:t>
      </w:r>
    </w:p>
    <w:tbl>
      <w:tblPr>
        <w:tblStyle w:val="SPYComparison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Robustness item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Previous PDF data / basis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Formal 6905 SPY result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Comparison and explanation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Normal / stress regime attribution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Section 4.6 reports normal and stress excess versus universe_ew and static_baseline; it mentions SPY as a long-only comparator but does not separately report stress excess versus SPY.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SPY: all periods 0.84%; normal 2.92%; stress -2.49%.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normal-regime conclusion remains positive versus SPY, but the stress-regime conclusion reverses from broadly protective to mixed under the primary market baseline.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Stress drawdown framing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says stress MDD was 12.92% versus 14.52% static_baseline and calls the stress answer unambiguous.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stress evidence: strategy stress MDD 13.18%, static-baseline stress MDD 11.78%, and SPY stress excess -2.49%.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Stress protection is no longer unambiguous. The strategy underperforms SPY during stress and also fails the static-baseline stress drawdown criterion.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Fixed subperiods versus SPY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identifies the short sample window as a limitation but does not provide the formal fixed-subperiod SPY map.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SPY subperiod excess: 2021 Reopening: 0.08%; 2022 Bear: 9.70%; 2023 Recovery: -9.04%; 2024 Bull: 2.82%; 2025-2026 Recent: -0.18%.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SPY-relative performance is concentrated. The 2022 bear window is strong, 2024 is positive, 2023 recovery is weak, and the recent window is close to flat.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4 - Stochastic and OOS Evidence</w:t>
      </w:r>
    </w:p>
    <w:tbl>
      <w:tblPr>
        <w:tblStyle w:val="SPYComparison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Robustness item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Previous PDF data / basis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Formal 6905 SPY result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Comparison and explanation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Stationary bootstrap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Section 5.3: P50 annualized return 14.083%, P50 Sharpe 0.841, positive-return probability 99.230%.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Test 9: P50 annualized return 12.51%, P50 Sharpe 0.788, positive-return probability 98.95%.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Absolute stochastic robustness remains high, but the central return and Sharpe are lower than the PDF values.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Monte Carlo / empirical path simulation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base Monte Carlo: P50 annualized return 14.054%, P50 Sharpe 0.844, positive-return probability 95.600%; stress cases deteriorate materially.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Test 13: P50 annualized return 12.37%, P50 Sharpe 0.768, positive-return probability 94.45%.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current empirical simulation still supports positive central tendency, but at a lower level than the old PDF.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Cost and factor stochastic checks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does not include formal Test 10 and Test 11 outputs in the same Part 4 format.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Test 10 flat +25 bps: P50 annualized return 11.45%, P50 Sharpe 0.712. Test 11 P50 annualized return range 10.54% to 11.58%.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These tests support absolute robustness under perturbations, but they are not direct evidence of large SPY alpha.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Rolling out-of-sample benchmark comparison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lists out-of-sample extension as a future credibility test, not a completed SPY-style result.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Test 12: OOS annualized return 16.62%; OOS benchmark annualized return 16.69%; OOS excess -0.06%; OOS Sharpe 1.100.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completed OOS test is strong in absolute terms but nearly flat versus the benchmark, reinforcing a cautious SPY-primary conclusion.</w:t>
            </w:r>
          </w:p>
        </w:tc>
      </w:tr>
    </w:tbl>
    <w:p/>
    <w:p>
      <w:pPr>
        <w:pStyle w:val="Heading1"/>
      </w:pPr>
      <w:r>
        <w:t>Part 5 - SPY-Primary Scorecard</w:t>
      </w:r>
    </w:p>
    <w:tbl>
      <w:tblPr>
        <w:tblStyle w:val="SPYComparison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Robustness item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Previous PDF data / basis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Formal 6905 SPY result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line="245" w:lineRule="auto"/>
            </w:pPr>
            <w:r/>
            <w:r>
              <w:rPr>
                <w:b/>
                <w:color w:val="FFFFFF"/>
                <w:sz w:val="17"/>
              </w:rPr>
              <w:t>Comparison and explanation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Overall scorecard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Table 4.8: 4 of 5 pass, with the 25 bps cost item listed as skipped pending re-run.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6905: 3 of 5 pass. Pass: positive long-run SPY excess, risk-adjusted metrics, and 25 bps cost survival. Fail: stress drawdown and stress excess versus static_baseline.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formal SPY-primary scorecard is weaker than the PDF tone, mainly because the stress criteria now fail and the cost pass is thin versus SPY.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Criterion 1: positive long-run excess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 scorecard basis: positive long-run excess was stated versus universe_ew; the separate SPY table gave +2.50% annualized excess.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SPY: +0.84% annualized excess, +3.79% total excess, IR 0.126.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criterion still passes under SPY, but the margin is materially lower than the PDF SPY value.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Criterion 2: lower stress MDD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PDF: Pass, with 12.92% stress MDD versus 14.52% static_baseline.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Formal: Fail, with strategy stress MDD 13.18% versus static-baseline stress MDD 11.78%. SPY stress excess is -2.49%.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pass/fail rule is static-baseline based, but the SPY stress result points in the same cautious direction.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Criterion 3: risk-adjusted metrics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PDF: Pass, with all three metrics exceeding static_baseline.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Formal: Pass. Strategy IR versus primary benchmark 0.126; static-baseline IR versus primary benchmark -0.463; strategy Sharpe 0.582.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This remains one of the stronger pieces of formal evidence. SPY affects the IR leg because SPY is now the primary benchmark.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Criterion 4: 25 bps cost survival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PDF: listed as skipped in Table 4.8, while Section 5.2.1 later reports 25 bps excess of 3.507% versus EW and the residual-risk table estimates about +1.40% versus SPY.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 SPY: Pass, with 25 bps excess return 0.48% versus SPY.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test is now completed and passes, but the SPY margin is only +0.48%, so the wording needs to be cautious.</w:t>
            </w:r>
          </w:p>
        </w:tc>
      </w:tr>
      <w:tr>
        <w:tc>
          <w:tcPr>
            <w:tcW w:type="dxa" w:w="255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AF1F8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Criterion 5: positive stress-period excess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PDF: Pass, with +4.48% annualized stress excess versus static_baseline.</w:t>
            </w:r>
          </w:p>
        </w:tc>
        <w:tc>
          <w:tcPr>
            <w:tcW w:type="dxa" w:w="408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Formal: Fail, with stress excess versus static_baseline -1.03% and stress excess versus SPY -2.49%.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BFD"/>
          </w:tcPr>
          <w:p>
            <w:pPr>
              <w:spacing w:after="0" w:line="245" w:lineRule="auto"/>
            </w:pPr>
            <w:r/>
            <w:r>
              <w:rPr>
                <w:b w:val="0"/>
                <w:sz w:val="16"/>
              </w:rPr>
              <w:t>The stress conclusion changes sharply. The final report cannot describe stress robustness as uniformly strong under a SPY-primary reading.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669" w:right="652" w:bottom="595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SPY-primary robustness comparison | formal 6905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F52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F5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62F52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PYComparisonTable">
    <w:name w:val="SPY Comparison Table"/>
    <w:basedOn w:val="TableGrid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