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Revisions: Primary SPY Baseline, Transaction Cost, and Regime Attribution</w:t>
      </w:r>
    </w:p>
    <w:p>
      <w:pPr>
        <w:jc w:val="center"/>
      </w:pPr>
      <w:r>
        <w:rPr>
          <w:i/>
          <w:color w:val="53637D"/>
        </w:rPr>
        <w:t>Formal baseline run 6905e84b-9e16-4106-8c0f-cd9ecce56728</w:t>
      </w:r>
    </w:p>
    <w:p>
      <w:pPr>
        <w:spacing w:after="100"/>
      </w:pPr>
      <w:r>
        <w:t>This document uses SPY as the final report's primary baseline. Universe EW and static_baseline are retained as supporting comparators that explain implementation quality and internal active value. The first two sections isolate the two report sections that already contain detailed analysis in the previous report: Section 5.2.1 Transaction Cost Sensitivity and Section 4.6 Regime Attribution / Normal-Stress framing. Each section gives the previous report values, the formal latest values, and the final wording for the report body.</w:t>
      </w:r>
    </w:p>
    <w:p>
      <w:pPr>
        <w:pStyle w:val="Heading1"/>
      </w:pPr>
      <w:r>
        <w:t>1. Transaction Cost Sensitivity</w:t>
      </w:r>
    </w:p>
    <w:tbl>
      <w:tblPr>
        <w:tblStyle w:val="RevisionTable"/>
        <w:tblW w:type="auto" w:w="0"/>
        <w:jc w:val="center"/>
        <w:tblLook w:firstColumn="1" w:firstRow="1" w:lastColumn="0" w:lastRow="0" w:noHBand="0" w:noVBand="1" w:val="04A0"/>
      </w:tblPr>
      <w:tblGrid>
        <w:gridCol w:w="2570"/>
        <w:gridCol w:w="2570"/>
        <w:gridCol w:w="2570"/>
        <w:gridCol w:w="2570"/>
        <w:gridCol w:w="2570"/>
        <w:gridCol w:w="2570"/>
      </w:tblGrid>
      <w:tr>
        <w:tc>
          <w:tcPr>
            <w:tcW w:type="dxa" w:w="2041"/>
            <w:shd w:fill="1F3A5F"/>
          </w:tcPr>
          <w:p>
            <w:pPr>
              <w:spacing w:after="0" w:line="247" w:lineRule="auto"/>
            </w:pPr>
            <w:r/>
            <w:r>
              <w:rPr>
                <w:b/>
                <w:color w:val="FFFFFF"/>
                <w:sz w:val="18"/>
              </w:rPr>
              <w:t>Cost scenario</w:t>
            </w:r>
          </w:p>
        </w:tc>
        <w:tc>
          <w:tcPr>
            <w:tcW w:type="dxa" w:w="2211"/>
            <w:shd w:fill="1F3A5F"/>
          </w:tcPr>
          <w:p>
            <w:pPr>
              <w:spacing w:after="0" w:line="247" w:lineRule="auto"/>
            </w:pPr>
            <w:r/>
            <w:r>
              <w:rPr>
                <w:b/>
                <w:color w:val="FFFFFF"/>
                <w:sz w:val="18"/>
              </w:rPr>
              <w:t>Old annualized return</w:t>
            </w:r>
          </w:p>
        </w:tc>
        <w:tc>
          <w:tcPr>
            <w:tcW w:type="dxa" w:w="1814"/>
            <w:shd w:fill="1F3A5F"/>
          </w:tcPr>
          <w:p>
            <w:pPr>
              <w:spacing w:after="0" w:line="247" w:lineRule="auto"/>
            </w:pPr>
            <w:r/>
            <w:r>
              <w:rPr>
                <w:b/>
                <w:color w:val="FFFFFF"/>
                <w:sz w:val="18"/>
              </w:rPr>
              <w:t>Old Sharpe</w:t>
            </w:r>
          </w:p>
        </w:tc>
        <w:tc>
          <w:tcPr>
            <w:tcW w:type="dxa" w:w="2098"/>
            <w:shd w:fill="1F3A5F"/>
          </w:tcPr>
          <w:p>
            <w:pPr>
              <w:spacing w:after="0" w:line="247" w:lineRule="auto"/>
            </w:pPr>
            <w:r/>
            <w:r>
              <w:rPr>
                <w:b/>
                <w:color w:val="FFFFFF"/>
                <w:sz w:val="18"/>
              </w:rPr>
              <w:t>Old max drawdown</w:t>
            </w:r>
          </w:p>
        </w:tc>
        <w:tc>
          <w:tcPr>
            <w:tcW w:type="dxa" w:w="2268"/>
            <w:shd w:fill="1F3A5F"/>
          </w:tcPr>
          <w:p>
            <w:pPr>
              <w:spacing w:after="0" w:line="247" w:lineRule="auto"/>
            </w:pPr>
            <w:r/>
            <w:r>
              <w:rPr>
                <w:b/>
                <w:color w:val="FFFFFF"/>
                <w:sz w:val="18"/>
              </w:rPr>
              <w:t>Old excess vs SPY</w:t>
            </w:r>
          </w:p>
        </w:tc>
        <w:tc>
          <w:tcPr>
            <w:tcW w:type="dxa" w:w="2154"/>
            <w:shd w:fill="1F3A5F"/>
          </w:tcPr>
          <w:p>
            <w:pPr>
              <w:spacing w:after="0" w:line="247" w:lineRule="auto"/>
            </w:pPr>
            <w:r/>
            <w:r>
              <w:rPr>
                <w:b/>
                <w:color w:val="FFFFFF"/>
                <w:sz w:val="18"/>
              </w:rPr>
              <w:t>Old excess vs EW</w:t>
            </w:r>
          </w:p>
        </w:tc>
      </w:tr>
      <w:tr>
        <w:tc>
          <w:tcPr>
            <w:tcW w:type="dxa" w:w="2041"/>
            <w:vAlign w:val="center"/>
            <w:shd w:fill="EEF3FA"/>
          </w:tcPr>
          <w:p>
            <w:pPr>
              <w:spacing w:after="0" w:line="247" w:lineRule="auto"/>
            </w:pPr>
            <w:r/>
            <w:r>
              <w:rPr>
                <w:b w:val="0"/>
                <w:sz w:val="17"/>
              </w:rPr>
              <w:t>10 bps</w:t>
            </w:r>
          </w:p>
        </w:tc>
        <w:tc>
          <w:tcPr>
            <w:tcW w:type="dxa" w:w="2211"/>
            <w:vAlign w:val="center"/>
          </w:tcPr>
          <w:p>
            <w:pPr>
              <w:spacing w:after="0" w:line="247" w:lineRule="auto"/>
            </w:pPr>
            <w:r/>
            <w:r>
              <w:rPr>
                <w:b w:val="0"/>
                <w:sz w:val="17"/>
              </w:rPr>
              <w:t>13.739%</w:t>
            </w:r>
          </w:p>
        </w:tc>
        <w:tc>
          <w:tcPr>
            <w:tcW w:type="dxa" w:w="1814"/>
            <w:vAlign w:val="center"/>
          </w:tcPr>
          <w:p>
            <w:pPr>
              <w:spacing w:after="0" w:line="247" w:lineRule="auto"/>
            </w:pPr>
            <w:r/>
            <w:r>
              <w:rPr>
                <w:b w:val="0"/>
                <w:sz w:val="17"/>
              </w:rPr>
              <w:t>0.830</w:t>
            </w:r>
          </w:p>
        </w:tc>
        <w:tc>
          <w:tcPr>
            <w:tcW w:type="dxa" w:w="2098"/>
            <w:vAlign w:val="center"/>
          </w:tcPr>
          <w:p>
            <w:pPr>
              <w:spacing w:after="0" w:line="247" w:lineRule="auto"/>
            </w:pPr>
            <w:r/>
            <w:r>
              <w:rPr>
                <w:b w:val="0"/>
                <w:sz w:val="17"/>
              </w:rPr>
              <w:t>16.358%</w:t>
            </w:r>
          </w:p>
        </w:tc>
        <w:tc>
          <w:tcPr>
            <w:tcW w:type="dxa" w:w="2268"/>
            <w:vAlign w:val="center"/>
          </w:tcPr>
          <w:p>
            <w:pPr>
              <w:spacing w:after="0" w:line="247" w:lineRule="auto"/>
            </w:pPr>
            <w:r/>
            <w:r>
              <w:rPr>
                <w:b w:val="0"/>
                <w:sz w:val="17"/>
              </w:rPr>
              <w:t>not separately reported</w:t>
            </w:r>
          </w:p>
        </w:tc>
        <w:tc>
          <w:tcPr>
            <w:tcW w:type="dxa" w:w="2154"/>
            <w:vAlign w:val="center"/>
          </w:tcPr>
          <w:p>
            <w:pPr>
              <w:spacing w:after="0" w:line="247" w:lineRule="auto"/>
            </w:pPr>
            <w:r/>
            <w:r>
              <w:rPr>
                <w:b w:val="0"/>
                <w:sz w:val="17"/>
              </w:rPr>
              <w:t>about 4.17%</w:t>
            </w:r>
          </w:p>
        </w:tc>
      </w:tr>
      <w:tr>
        <w:tc>
          <w:tcPr>
            <w:tcW w:type="dxa" w:w="2041"/>
            <w:vAlign w:val="center"/>
            <w:shd w:fill="EEF3FA"/>
          </w:tcPr>
          <w:p>
            <w:pPr>
              <w:spacing w:after="0" w:line="247" w:lineRule="auto"/>
            </w:pPr>
            <w:r/>
            <w:r>
              <w:rPr>
                <w:b w:val="0"/>
                <w:sz w:val="17"/>
              </w:rPr>
              <w:t>15 bps mainline</w:t>
            </w:r>
          </w:p>
        </w:tc>
        <w:tc>
          <w:tcPr>
            <w:tcW w:type="dxa" w:w="2211"/>
            <w:vAlign w:val="center"/>
            <w:shd w:fill="FAFBFD"/>
          </w:tcPr>
          <w:p>
            <w:pPr>
              <w:spacing w:after="0" w:line="247" w:lineRule="auto"/>
            </w:pPr>
            <w:r/>
            <w:r>
              <w:rPr>
                <w:b w:val="0"/>
                <w:sz w:val="17"/>
              </w:rPr>
              <w:t>13.519%</w:t>
            </w:r>
          </w:p>
        </w:tc>
        <w:tc>
          <w:tcPr>
            <w:tcW w:type="dxa" w:w="1814"/>
            <w:vAlign w:val="center"/>
            <w:shd w:fill="FAFBFD"/>
          </w:tcPr>
          <w:p>
            <w:pPr>
              <w:spacing w:after="0" w:line="247" w:lineRule="auto"/>
            </w:pPr>
            <w:r/>
            <w:r>
              <w:rPr>
                <w:b w:val="0"/>
                <w:sz w:val="17"/>
              </w:rPr>
              <w:t>0.817</w:t>
            </w:r>
          </w:p>
        </w:tc>
        <w:tc>
          <w:tcPr>
            <w:tcW w:type="dxa" w:w="2098"/>
            <w:vAlign w:val="center"/>
            <w:shd w:fill="FAFBFD"/>
          </w:tcPr>
          <w:p>
            <w:pPr>
              <w:spacing w:after="0" w:line="247" w:lineRule="auto"/>
            </w:pPr>
            <w:r/>
            <w:r>
              <w:rPr>
                <w:b w:val="0"/>
                <w:sz w:val="17"/>
              </w:rPr>
              <w:t>16.447%</w:t>
            </w:r>
          </w:p>
        </w:tc>
        <w:tc>
          <w:tcPr>
            <w:tcW w:type="dxa" w:w="2268"/>
            <w:vAlign w:val="center"/>
            <w:shd w:fill="FAFBFD"/>
          </w:tcPr>
          <w:p>
            <w:pPr>
              <w:spacing w:after="0" w:line="247" w:lineRule="auto"/>
            </w:pPr>
            <w:r/>
            <w:r>
              <w:rPr>
                <w:b w:val="0"/>
                <w:sz w:val="17"/>
              </w:rPr>
              <w:t>+2.50%</w:t>
            </w:r>
          </w:p>
        </w:tc>
        <w:tc>
          <w:tcPr>
            <w:tcW w:type="dxa" w:w="2154"/>
            <w:vAlign w:val="center"/>
            <w:shd w:fill="FAFBFD"/>
          </w:tcPr>
          <w:p>
            <w:pPr>
              <w:spacing w:after="0" w:line="247" w:lineRule="auto"/>
            </w:pPr>
            <w:r/>
            <w:r>
              <w:rPr>
                <w:b w:val="0"/>
                <w:sz w:val="17"/>
              </w:rPr>
              <w:t>3.946%</w:t>
            </w:r>
          </w:p>
        </w:tc>
      </w:tr>
      <w:tr>
        <w:tc>
          <w:tcPr>
            <w:tcW w:type="dxa" w:w="2041"/>
            <w:vAlign w:val="center"/>
            <w:shd w:fill="EEF3FA"/>
          </w:tcPr>
          <w:p>
            <w:pPr>
              <w:spacing w:after="0" w:line="247" w:lineRule="auto"/>
            </w:pPr>
            <w:r/>
            <w:r>
              <w:rPr>
                <w:b w:val="0"/>
                <w:sz w:val="17"/>
              </w:rPr>
              <w:t>25 bps</w:t>
            </w:r>
          </w:p>
        </w:tc>
        <w:tc>
          <w:tcPr>
            <w:tcW w:type="dxa" w:w="2211"/>
            <w:vAlign w:val="center"/>
          </w:tcPr>
          <w:p>
            <w:pPr>
              <w:spacing w:after="0" w:line="247" w:lineRule="auto"/>
            </w:pPr>
            <w:r/>
            <w:r>
              <w:rPr>
                <w:b w:val="0"/>
                <w:sz w:val="17"/>
              </w:rPr>
              <w:t>13.080%</w:t>
            </w:r>
          </w:p>
        </w:tc>
        <w:tc>
          <w:tcPr>
            <w:tcW w:type="dxa" w:w="1814"/>
            <w:vAlign w:val="center"/>
          </w:tcPr>
          <w:p>
            <w:pPr>
              <w:spacing w:after="0" w:line="247" w:lineRule="auto"/>
            </w:pPr>
            <w:r/>
            <w:r>
              <w:rPr>
                <w:b w:val="0"/>
                <w:sz w:val="17"/>
              </w:rPr>
              <w:t>0.790</w:t>
            </w:r>
          </w:p>
        </w:tc>
        <w:tc>
          <w:tcPr>
            <w:tcW w:type="dxa" w:w="2098"/>
            <w:vAlign w:val="center"/>
          </w:tcPr>
          <w:p>
            <w:pPr>
              <w:spacing w:after="0" w:line="247" w:lineRule="auto"/>
            </w:pPr>
            <w:r/>
            <w:r>
              <w:rPr>
                <w:b w:val="0"/>
                <w:sz w:val="17"/>
              </w:rPr>
              <w:t>16.693%</w:t>
            </w:r>
          </w:p>
        </w:tc>
        <w:tc>
          <w:tcPr>
            <w:tcW w:type="dxa" w:w="2268"/>
            <w:vAlign w:val="center"/>
          </w:tcPr>
          <w:p>
            <w:pPr>
              <w:spacing w:after="0" w:line="247" w:lineRule="auto"/>
            </w:pPr>
            <w:r/>
            <w:r>
              <w:rPr>
                <w:b w:val="0"/>
                <w:sz w:val="17"/>
              </w:rPr>
              <w:t>about +1.4%</w:t>
            </w:r>
          </w:p>
        </w:tc>
        <w:tc>
          <w:tcPr>
            <w:tcW w:type="dxa" w:w="2154"/>
            <w:vAlign w:val="center"/>
          </w:tcPr>
          <w:p>
            <w:pPr>
              <w:spacing w:after="0" w:line="247" w:lineRule="auto"/>
            </w:pPr>
            <w:r/>
            <w:r>
              <w:rPr>
                <w:b w:val="0"/>
                <w:sz w:val="17"/>
              </w:rPr>
              <w:t>3.507%</w:t>
            </w:r>
          </w:p>
        </w:tc>
      </w:tr>
      <w:tr>
        <w:tc>
          <w:tcPr>
            <w:tcW w:type="dxa" w:w="2041"/>
            <w:vAlign w:val="center"/>
            <w:shd w:fill="EEF3FA"/>
          </w:tcPr>
          <w:p>
            <w:pPr>
              <w:spacing w:after="0" w:line="247" w:lineRule="auto"/>
            </w:pPr>
            <w:r/>
            <w:r>
              <w:rPr>
                <w:b w:val="0"/>
                <w:sz w:val="17"/>
              </w:rPr>
              <w:t>40 bps</w:t>
            </w:r>
          </w:p>
        </w:tc>
        <w:tc>
          <w:tcPr>
            <w:tcW w:type="dxa" w:w="2211"/>
            <w:vAlign w:val="center"/>
            <w:shd w:fill="FAFBFD"/>
          </w:tcPr>
          <w:p>
            <w:pPr>
              <w:spacing w:after="0" w:line="247" w:lineRule="auto"/>
            </w:pPr>
            <w:r/>
            <w:r>
              <w:rPr>
                <w:b w:val="0"/>
                <w:sz w:val="17"/>
              </w:rPr>
              <w:t>12.424%</w:t>
            </w:r>
          </w:p>
        </w:tc>
        <w:tc>
          <w:tcPr>
            <w:tcW w:type="dxa" w:w="1814"/>
            <w:vAlign w:val="center"/>
            <w:shd w:fill="FAFBFD"/>
          </w:tcPr>
          <w:p>
            <w:pPr>
              <w:spacing w:after="0" w:line="247" w:lineRule="auto"/>
            </w:pPr>
            <w:r/>
            <w:r>
              <w:rPr>
                <w:b w:val="0"/>
                <w:sz w:val="17"/>
              </w:rPr>
              <w:t>0.751</w:t>
            </w:r>
          </w:p>
        </w:tc>
        <w:tc>
          <w:tcPr>
            <w:tcW w:type="dxa" w:w="2098"/>
            <w:vAlign w:val="center"/>
            <w:shd w:fill="FAFBFD"/>
          </w:tcPr>
          <w:p>
            <w:pPr>
              <w:spacing w:after="0" w:line="247" w:lineRule="auto"/>
            </w:pPr>
            <w:r/>
            <w:r>
              <w:rPr>
                <w:b w:val="0"/>
                <w:sz w:val="17"/>
              </w:rPr>
              <w:t>17.062%</w:t>
            </w:r>
          </w:p>
        </w:tc>
        <w:tc>
          <w:tcPr>
            <w:tcW w:type="dxa" w:w="2268"/>
            <w:vAlign w:val="center"/>
            <w:shd w:fill="FAFBFD"/>
          </w:tcPr>
          <w:p>
            <w:pPr>
              <w:spacing w:after="0" w:line="247" w:lineRule="auto"/>
            </w:pPr>
            <w:r/>
            <w:r>
              <w:rPr>
                <w:b w:val="0"/>
                <w:sz w:val="17"/>
              </w:rPr>
              <w:t>not separately reported</w:t>
            </w:r>
          </w:p>
        </w:tc>
        <w:tc>
          <w:tcPr>
            <w:tcW w:type="dxa" w:w="2154"/>
            <w:vAlign w:val="center"/>
            <w:shd w:fill="FAFBFD"/>
          </w:tcPr>
          <w:p>
            <w:pPr>
              <w:spacing w:after="0" w:line="247" w:lineRule="auto"/>
            </w:pPr>
            <w:r/>
            <w:r>
              <w:rPr>
                <w:b w:val="0"/>
                <w:sz w:val="17"/>
              </w:rPr>
              <w:t>about 2.85%</w:t>
            </w:r>
          </w:p>
        </w:tc>
      </w:tr>
    </w:tbl>
    <w:p/>
    <w:tbl>
      <w:tblPr>
        <w:tblStyle w:val="RevisionTable"/>
        <w:tblW w:type="auto" w:w="0"/>
        <w:jc w:val="center"/>
        <w:tblLook w:firstColumn="1" w:firstRow="1" w:lastColumn="0" w:lastRow="0" w:noHBand="0" w:noVBand="1" w:val="04A0"/>
      </w:tblPr>
      <w:tblGrid>
        <w:gridCol w:w="2570"/>
        <w:gridCol w:w="2570"/>
        <w:gridCol w:w="2570"/>
        <w:gridCol w:w="2570"/>
        <w:gridCol w:w="2570"/>
        <w:gridCol w:w="2570"/>
      </w:tblGrid>
      <w:tr>
        <w:tc>
          <w:tcPr>
            <w:tcW w:type="dxa" w:w="2041"/>
            <w:shd w:fill="1F3A5F"/>
          </w:tcPr>
          <w:p>
            <w:pPr>
              <w:spacing w:after="0" w:line="247" w:lineRule="auto"/>
            </w:pPr>
            <w:r/>
            <w:r>
              <w:rPr>
                <w:b/>
                <w:color w:val="FFFFFF"/>
                <w:sz w:val="18"/>
              </w:rPr>
              <w:t>Cost scenario</w:t>
            </w:r>
          </w:p>
        </w:tc>
        <w:tc>
          <w:tcPr>
            <w:tcW w:type="dxa" w:w="2211"/>
            <w:shd w:fill="1F3A5F"/>
          </w:tcPr>
          <w:p>
            <w:pPr>
              <w:spacing w:after="0" w:line="247" w:lineRule="auto"/>
            </w:pPr>
            <w:r/>
            <w:r>
              <w:rPr>
                <w:b/>
                <w:color w:val="FFFFFF"/>
                <w:sz w:val="18"/>
              </w:rPr>
              <w:t>Formal annualized return</w:t>
            </w:r>
          </w:p>
        </w:tc>
        <w:tc>
          <w:tcPr>
            <w:tcW w:type="dxa" w:w="1814"/>
            <w:shd w:fill="1F3A5F"/>
          </w:tcPr>
          <w:p>
            <w:pPr>
              <w:spacing w:after="0" w:line="247" w:lineRule="auto"/>
            </w:pPr>
            <w:r/>
            <w:r>
              <w:rPr>
                <w:b/>
                <w:color w:val="FFFFFF"/>
                <w:sz w:val="18"/>
              </w:rPr>
              <w:t>Formal Sharpe</w:t>
            </w:r>
          </w:p>
        </w:tc>
        <w:tc>
          <w:tcPr>
            <w:tcW w:type="dxa" w:w="2098"/>
            <w:shd w:fill="1F3A5F"/>
          </w:tcPr>
          <w:p>
            <w:pPr>
              <w:spacing w:after="0" w:line="247" w:lineRule="auto"/>
            </w:pPr>
            <w:r/>
            <w:r>
              <w:rPr>
                <w:b/>
                <w:color w:val="FFFFFF"/>
                <w:sz w:val="18"/>
              </w:rPr>
              <w:t>Formal max drawdown</w:t>
            </w:r>
          </w:p>
        </w:tc>
        <w:tc>
          <w:tcPr>
            <w:tcW w:type="dxa" w:w="2268"/>
            <w:shd w:fill="1F3A5F"/>
          </w:tcPr>
          <w:p>
            <w:pPr>
              <w:spacing w:after="0" w:line="247" w:lineRule="auto"/>
            </w:pPr>
            <w:r/>
            <w:r>
              <w:rPr>
                <w:b/>
                <w:color w:val="FFFFFF"/>
                <w:sz w:val="18"/>
              </w:rPr>
              <w:t>Formal excess vs SPY</w:t>
            </w:r>
          </w:p>
        </w:tc>
        <w:tc>
          <w:tcPr>
            <w:tcW w:type="dxa" w:w="2154"/>
            <w:shd w:fill="1F3A5F"/>
          </w:tcPr>
          <w:p>
            <w:pPr>
              <w:spacing w:after="0" w:line="247" w:lineRule="auto"/>
            </w:pPr>
            <w:r/>
            <w:r>
              <w:rPr>
                <w:b/>
                <w:color w:val="FFFFFF"/>
                <w:sz w:val="18"/>
              </w:rPr>
              <w:t>Formal excess vs Universe EW</w:t>
            </w:r>
          </w:p>
        </w:tc>
      </w:tr>
      <w:tr>
        <w:tc>
          <w:tcPr>
            <w:tcW w:type="dxa" w:w="2041"/>
            <w:vAlign w:val="center"/>
            <w:shd w:fill="EEF3FA"/>
          </w:tcPr>
          <w:p>
            <w:pPr>
              <w:spacing w:after="0" w:line="247" w:lineRule="auto"/>
            </w:pPr>
            <w:r/>
            <w:r>
              <w:rPr>
                <w:b w:val="0"/>
                <w:sz w:val="17"/>
              </w:rPr>
              <w:t>10 bps</w:t>
            </w:r>
          </w:p>
        </w:tc>
        <w:tc>
          <w:tcPr>
            <w:tcW w:type="dxa" w:w="2211"/>
            <w:vAlign w:val="center"/>
          </w:tcPr>
          <w:p>
            <w:pPr>
              <w:spacing w:after="0" w:line="247" w:lineRule="auto"/>
            </w:pPr>
            <w:r/>
            <w:r>
              <w:rPr>
                <w:b w:val="0"/>
                <w:sz w:val="17"/>
              </w:rPr>
              <w:t>12.12%</w:t>
            </w:r>
          </w:p>
        </w:tc>
        <w:tc>
          <w:tcPr>
            <w:tcW w:type="dxa" w:w="1814"/>
            <w:vAlign w:val="center"/>
          </w:tcPr>
          <w:p>
            <w:pPr>
              <w:spacing w:after="0" w:line="247" w:lineRule="auto"/>
            </w:pPr>
            <w:r/>
            <w:r>
              <w:rPr>
                <w:b w:val="0"/>
                <w:sz w:val="17"/>
              </w:rPr>
              <w:t>0.593</w:t>
            </w:r>
          </w:p>
        </w:tc>
        <w:tc>
          <w:tcPr>
            <w:tcW w:type="dxa" w:w="2098"/>
            <w:vAlign w:val="center"/>
          </w:tcPr>
          <w:p>
            <w:pPr>
              <w:spacing w:after="0" w:line="247" w:lineRule="auto"/>
            </w:pPr>
            <w:r/>
            <w:r>
              <w:rPr>
                <w:b w:val="0"/>
                <w:sz w:val="17"/>
              </w:rPr>
              <w:t>17.02%</w:t>
            </w:r>
          </w:p>
        </w:tc>
        <w:tc>
          <w:tcPr>
            <w:tcW w:type="dxa" w:w="2268"/>
            <w:vAlign w:val="center"/>
          </w:tcPr>
          <w:p>
            <w:pPr>
              <w:spacing w:after="0" w:line="247" w:lineRule="auto"/>
            </w:pPr>
            <w:r/>
            <w:r>
              <w:rPr>
                <w:b w:val="0"/>
                <w:sz w:val="17"/>
              </w:rPr>
              <w:t>1.03%</w:t>
            </w:r>
          </w:p>
        </w:tc>
        <w:tc>
          <w:tcPr>
            <w:tcW w:type="dxa" w:w="2154"/>
            <w:vAlign w:val="center"/>
          </w:tcPr>
          <w:p>
            <w:pPr>
              <w:spacing w:after="0" w:line="247" w:lineRule="auto"/>
            </w:pPr>
            <w:r/>
            <w:r>
              <w:rPr>
                <w:b w:val="0"/>
                <w:sz w:val="17"/>
              </w:rPr>
              <w:t>2.76%</w:t>
            </w:r>
          </w:p>
        </w:tc>
      </w:tr>
      <w:tr>
        <w:tc>
          <w:tcPr>
            <w:tcW w:type="dxa" w:w="2041"/>
            <w:vAlign w:val="center"/>
            <w:shd w:fill="EEF3FA"/>
          </w:tcPr>
          <w:p>
            <w:pPr>
              <w:spacing w:after="0" w:line="247" w:lineRule="auto"/>
            </w:pPr>
            <w:r/>
            <w:r>
              <w:rPr>
                <w:b w:val="0"/>
                <w:sz w:val="17"/>
              </w:rPr>
              <w:t>15 bps mainline</w:t>
            </w:r>
          </w:p>
        </w:tc>
        <w:tc>
          <w:tcPr>
            <w:tcW w:type="dxa" w:w="2211"/>
            <w:vAlign w:val="center"/>
            <w:shd w:fill="FAFBFD"/>
          </w:tcPr>
          <w:p>
            <w:pPr>
              <w:spacing w:after="0" w:line="247" w:lineRule="auto"/>
            </w:pPr>
            <w:r/>
            <w:r>
              <w:rPr>
                <w:b w:val="0"/>
                <w:sz w:val="17"/>
              </w:rPr>
              <w:t>11.94%</w:t>
            </w:r>
          </w:p>
        </w:tc>
        <w:tc>
          <w:tcPr>
            <w:tcW w:type="dxa" w:w="1814"/>
            <w:vAlign w:val="center"/>
            <w:shd w:fill="FAFBFD"/>
          </w:tcPr>
          <w:p>
            <w:pPr>
              <w:spacing w:after="0" w:line="247" w:lineRule="auto"/>
            </w:pPr>
            <w:r/>
            <w:r>
              <w:rPr>
                <w:b w:val="0"/>
                <w:sz w:val="17"/>
              </w:rPr>
              <w:t>0.582</w:t>
            </w:r>
          </w:p>
        </w:tc>
        <w:tc>
          <w:tcPr>
            <w:tcW w:type="dxa" w:w="2098"/>
            <w:vAlign w:val="center"/>
            <w:shd w:fill="FAFBFD"/>
          </w:tcPr>
          <w:p>
            <w:pPr>
              <w:spacing w:after="0" w:line="247" w:lineRule="auto"/>
            </w:pPr>
            <w:r/>
            <w:r>
              <w:rPr>
                <w:b w:val="0"/>
                <w:sz w:val="17"/>
              </w:rPr>
              <w:t>17.13%</w:t>
            </w:r>
          </w:p>
        </w:tc>
        <w:tc>
          <w:tcPr>
            <w:tcW w:type="dxa" w:w="2268"/>
            <w:vAlign w:val="center"/>
            <w:shd w:fill="FAFBFD"/>
          </w:tcPr>
          <w:p>
            <w:pPr>
              <w:spacing w:after="0" w:line="247" w:lineRule="auto"/>
            </w:pPr>
            <w:r/>
            <w:r>
              <w:rPr>
                <w:b w:val="0"/>
                <w:sz w:val="17"/>
              </w:rPr>
              <w:t>0.84%</w:t>
            </w:r>
          </w:p>
        </w:tc>
        <w:tc>
          <w:tcPr>
            <w:tcW w:type="dxa" w:w="2154"/>
            <w:vAlign w:val="center"/>
            <w:shd w:fill="FAFBFD"/>
          </w:tcPr>
          <w:p>
            <w:pPr>
              <w:spacing w:after="0" w:line="247" w:lineRule="auto"/>
            </w:pPr>
            <w:r/>
            <w:r>
              <w:rPr>
                <w:b w:val="0"/>
                <w:sz w:val="17"/>
              </w:rPr>
              <w:t>2.58%</w:t>
            </w:r>
          </w:p>
        </w:tc>
      </w:tr>
      <w:tr>
        <w:tc>
          <w:tcPr>
            <w:tcW w:type="dxa" w:w="2041"/>
            <w:vAlign w:val="center"/>
            <w:shd w:fill="EEF3FA"/>
          </w:tcPr>
          <w:p>
            <w:pPr>
              <w:spacing w:after="0" w:line="247" w:lineRule="auto"/>
            </w:pPr>
            <w:r/>
            <w:r>
              <w:rPr>
                <w:b w:val="0"/>
                <w:sz w:val="17"/>
              </w:rPr>
              <w:t>25 bps</w:t>
            </w:r>
          </w:p>
        </w:tc>
        <w:tc>
          <w:tcPr>
            <w:tcW w:type="dxa" w:w="2211"/>
            <w:vAlign w:val="center"/>
          </w:tcPr>
          <w:p>
            <w:pPr>
              <w:spacing w:after="0" w:line="247" w:lineRule="auto"/>
            </w:pPr>
            <w:r/>
            <w:r>
              <w:rPr>
                <w:b w:val="0"/>
                <w:sz w:val="17"/>
              </w:rPr>
              <w:t>11.57%</w:t>
            </w:r>
          </w:p>
        </w:tc>
        <w:tc>
          <w:tcPr>
            <w:tcW w:type="dxa" w:w="1814"/>
            <w:vAlign w:val="center"/>
          </w:tcPr>
          <w:p>
            <w:pPr>
              <w:spacing w:after="0" w:line="247" w:lineRule="auto"/>
            </w:pPr>
            <w:r/>
            <w:r>
              <w:rPr>
                <w:b w:val="0"/>
                <w:sz w:val="17"/>
              </w:rPr>
              <w:t>0.561</w:t>
            </w:r>
          </w:p>
        </w:tc>
        <w:tc>
          <w:tcPr>
            <w:tcW w:type="dxa" w:w="2098"/>
            <w:vAlign w:val="center"/>
          </w:tcPr>
          <w:p>
            <w:pPr>
              <w:spacing w:after="0" w:line="247" w:lineRule="auto"/>
            </w:pPr>
            <w:r/>
            <w:r>
              <w:rPr>
                <w:b w:val="0"/>
                <w:sz w:val="17"/>
              </w:rPr>
              <w:t>17.35%</w:t>
            </w:r>
          </w:p>
        </w:tc>
        <w:tc>
          <w:tcPr>
            <w:tcW w:type="dxa" w:w="2268"/>
            <w:vAlign w:val="center"/>
          </w:tcPr>
          <w:p>
            <w:pPr>
              <w:spacing w:after="0" w:line="247" w:lineRule="auto"/>
            </w:pPr>
            <w:r/>
            <w:r>
              <w:rPr>
                <w:b w:val="0"/>
                <w:sz w:val="17"/>
              </w:rPr>
              <w:t>0.48%</w:t>
            </w:r>
          </w:p>
        </w:tc>
        <w:tc>
          <w:tcPr>
            <w:tcW w:type="dxa" w:w="2154"/>
            <w:vAlign w:val="center"/>
          </w:tcPr>
          <w:p>
            <w:pPr>
              <w:spacing w:after="0" w:line="247" w:lineRule="auto"/>
            </w:pPr>
            <w:r/>
            <w:r>
              <w:rPr>
                <w:b w:val="0"/>
                <w:sz w:val="17"/>
              </w:rPr>
              <w:t>2.21%</w:t>
            </w:r>
          </w:p>
        </w:tc>
      </w:tr>
      <w:tr>
        <w:tc>
          <w:tcPr>
            <w:tcW w:type="dxa" w:w="2041"/>
            <w:vAlign w:val="center"/>
            <w:shd w:fill="EEF3FA"/>
          </w:tcPr>
          <w:p>
            <w:pPr>
              <w:spacing w:after="0" w:line="247" w:lineRule="auto"/>
            </w:pPr>
            <w:r/>
            <w:r>
              <w:rPr>
                <w:b w:val="0"/>
                <w:sz w:val="17"/>
              </w:rPr>
              <w:t>40 bps</w:t>
            </w:r>
          </w:p>
        </w:tc>
        <w:tc>
          <w:tcPr>
            <w:tcW w:type="dxa" w:w="2211"/>
            <w:vAlign w:val="center"/>
            <w:shd w:fill="FAFBFD"/>
          </w:tcPr>
          <w:p>
            <w:pPr>
              <w:spacing w:after="0" w:line="247" w:lineRule="auto"/>
            </w:pPr>
            <w:r/>
            <w:r>
              <w:rPr>
                <w:b w:val="0"/>
                <w:sz w:val="17"/>
              </w:rPr>
              <w:t>11.02%</w:t>
            </w:r>
          </w:p>
        </w:tc>
        <w:tc>
          <w:tcPr>
            <w:tcW w:type="dxa" w:w="1814"/>
            <w:vAlign w:val="center"/>
            <w:shd w:fill="FAFBFD"/>
          </w:tcPr>
          <w:p>
            <w:pPr>
              <w:spacing w:after="0" w:line="247" w:lineRule="auto"/>
            </w:pPr>
            <w:r/>
            <w:r>
              <w:rPr>
                <w:b w:val="0"/>
                <w:sz w:val="17"/>
              </w:rPr>
              <w:t>0.530</w:t>
            </w:r>
          </w:p>
        </w:tc>
        <w:tc>
          <w:tcPr>
            <w:tcW w:type="dxa" w:w="2098"/>
            <w:vAlign w:val="center"/>
            <w:shd w:fill="FAFBFD"/>
          </w:tcPr>
          <w:p>
            <w:pPr>
              <w:spacing w:after="0" w:line="247" w:lineRule="auto"/>
            </w:pPr>
            <w:r/>
            <w:r>
              <w:rPr>
                <w:b w:val="0"/>
                <w:sz w:val="17"/>
              </w:rPr>
              <w:t>17.69%</w:t>
            </w:r>
          </w:p>
        </w:tc>
        <w:tc>
          <w:tcPr>
            <w:tcW w:type="dxa" w:w="2268"/>
            <w:vAlign w:val="center"/>
            <w:shd w:fill="FAFBFD"/>
          </w:tcPr>
          <w:p>
            <w:pPr>
              <w:spacing w:after="0" w:line="247" w:lineRule="auto"/>
            </w:pPr>
            <w:r/>
            <w:r>
              <w:rPr>
                <w:b w:val="0"/>
                <w:sz w:val="17"/>
              </w:rPr>
              <w:t>-0.07%</w:t>
            </w:r>
          </w:p>
        </w:tc>
        <w:tc>
          <w:tcPr>
            <w:tcW w:type="dxa" w:w="2154"/>
            <w:vAlign w:val="center"/>
            <w:shd w:fill="FAFBFD"/>
          </w:tcPr>
          <w:p>
            <w:pPr>
              <w:spacing w:after="0" w:line="247" w:lineRule="auto"/>
            </w:pPr>
            <w:r/>
            <w:r>
              <w:rPr>
                <w:b w:val="0"/>
                <w:sz w:val="17"/>
              </w:rPr>
              <w:t>1.66%</w:t>
            </w:r>
          </w:p>
        </w:tc>
      </w:tr>
    </w:tbl>
    <w:p/>
    <w:tbl>
      <w:tblPr>
        <w:tblStyle w:val="RevisionTable"/>
        <w:tblW w:type="auto" w:w="0"/>
        <w:jc w:val="center"/>
        <w:tblLook w:firstColumn="1" w:firstRow="1" w:lastColumn="0" w:lastRow="0" w:noHBand="0" w:noVBand="1" w:val="04A0"/>
      </w:tblPr>
      <w:tblGrid>
        <w:gridCol w:w="7710"/>
        <w:gridCol w:w="7710"/>
      </w:tblGrid>
      <w:tr>
        <w:tc>
          <w:tcPr>
            <w:tcW w:type="dxa" w:w="7030"/>
            <w:shd w:fill="1F3A5F"/>
          </w:tcPr>
          <w:p>
            <w:pPr>
              <w:spacing w:after="0" w:line="247" w:lineRule="auto"/>
            </w:pPr>
            <w:r/>
            <w:r>
              <w:rPr>
                <w:b/>
                <w:color w:val="FFFFFF"/>
                <w:sz w:val="18"/>
              </w:rPr>
              <w:t>Previous report body claim</w:t>
            </w:r>
          </w:p>
        </w:tc>
        <w:tc>
          <w:tcPr>
            <w:tcW w:type="dxa" w:w="8391"/>
            <w:shd w:fill="1F3A5F"/>
          </w:tcPr>
          <w:p>
            <w:pPr>
              <w:spacing w:after="0" w:line="247" w:lineRule="auto"/>
            </w:pPr>
            <w:r/>
            <w:r>
              <w:rPr>
                <w:b/>
                <w:color w:val="FFFFFF"/>
                <w:sz w:val="18"/>
              </w:rPr>
              <w:t>Final report body wording</w:t>
            </w:r>
          </w:p>
        </w:tc>
      </w:tr>
      <w:tr>
        <w:tc>
          <w:tcPr>
            <w:tcW w:type="dxa" w:w="7030"/>
            <w:vAlign w:val="center"/>
            <w:shd w:fill="EEF3FA"/>
          </w:tcPr>
          <w:p>
            <w:pPr>
              <w:spacing w:after="0" w:line="247" w:lineRule="auto"/>
            </w:pPr>
            <w:r/>
            <w:r>
              <w:rPr>
                <w:b w:val="0"/>
                <w:sz w:val="17"/>
              </w:rPr>
              <w:t>Section 5.2.1 said the strategy remains economically meaningful at 25 bps, cost degradation follows a smooth path, and quarterly rebalancing helps keep average transaction costs below the assumed all-in rate.</w:t>
            </w:r>
          </w:p>
        </w:tc>
        <w:tc>
          <w:tcPr>
            <w:tcW w:type="dxa" w:w="8391"/>
            <w:vAlign w:val="center"/>
          </w:tcPr>
          <w:p>
            <w:pPr>
              <w:spacing w:after="0" w:line="247" w:lineRule="auto"/>
            </w:pPr>
            <w:r/>
            <w:r>
              <w:rPr>
                <w:b w:val="0"/>
                <w:sz w:val="17"/>
              </w:rPr>
              <w:t>The strategy was evaluated under 10 bps, 15 bps, 25 bps, and 40 bps transaction-cost assumptions. Under the formal results, annualized return declines from 12.12% at 10 bps to 11.02% at 40 bps, while the Sharpe ratio declines from 0.593 to 0.530. At 25 bps, the strategy still delivers an 11.57% annualized return, a 0.48% annualized excess return versus the primary SPY baseline, and a 2.21% annualized excess return versus Universe EW. At 40 bps, excess return versus SPY is slightly negative at -0.07%, while excess return versus Universe EW remains positive at 1.66%. The final conclusion is positive but thin cost resilience versus the primary SPY baseline, with stronger supporting resilience versus Universe EW.</w:t>
            </w:r>
          </w:p>
        </w:tc>
      </w:tr>
    </w:tbl>
    <w:p/>
    <w:p>
      <w:r>
        <w:br w:type="page"/>
      </w:r>
    </w:p>
    <w:p>
      <w:pPr>
        <w:pStyle w:val="Heading1"/>
      </w:pPr>
      <w:r>
        <w:t>2. Regime Attribution / Normal-Stress</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608"/>
            <w:shd w:fill="1F3A5F"/>
          </w:tcPr>
          <w:p>
            <w:pPr>
              <w:spacing w:after="0" w:line="247" w:lineRule="auto"/>
            </w:pPr>
            <w:r/>
            <w:r>
              <w:rPr>
                <w:b/>
                <w:color w:val="FFFFFF"/>
                <w:sz w:val="18"/>
              </w:rPr>
              <w:t>Regime</w:t>
            </w:r>
          </w:p>
        </w:tc>
        <w:tc>
          <w:tcPr>
            <w:tcW w:type="dxa" w:w="2948"/>
            <w:shd w:fill="1F3A5F"/>
          </w:tcPr>
          <w:p>
            <w:pPr>
              <w:spacing w:after="0" w:line="247" w:lineRule="auto"/>
            </w:pPr>
            <w:r/>
            <w:r>
              <w:rPr>
                <w:b/>
                <w:color w:val="FFFFFF"/>
                <w:sz w:val="18"/>
              </w:rPr>
              <w:t>Old excess vs Universe EW</w:t>
            </w:r>
          </w:p>
        </w:tc>
        <w:tc>
          <w:tcPr>
            <w:tcW w:type="dxa" w:w="2948"/>
            <w:shd w:fill="1F3A5F"/>
          </w:tcPr>
          <w:p>
            <w:pPr>
              <w:spacing w:after="0" w:line="247" w:lineRule="auto"/>
            </w:pPr>
            <w:r/>
            <w:r>
              <w:rPr>
                <w:b/>
                <w:color w:val="FFFFFF"/>
                <w:sz w:val="18"/>
              </w:rPr>
              <w:t>Old excess vs static</w:t>
            </w:r>
          </w:p>
        </w:tc>
        <w:tc>
          <w:tcPr>
            <w:tcW w:type="dxa" w:w="5669"/>
            <w:shd w:fill="1F3A5F"/>
          </w:tcPr>
          <w:p>
            <w:pPr>
              <w:spacing w:after="0" w:line="247" w:lineRule="auto"/>
            </w:pPr>
            <w:r/>
            <w:r>
              <w:rPr>
                <w:b/>
                <w:color w:val="FFFFFF"/>
                <w:sz w:val="18"/>
              </w:rPr>
              <w:t>Old Sharpe / hit-rate note</w:t>
            </w:r>
          </w:p>
        </w:tc>
      </w:tr>
      <w:tr>
        <w:tc>
          <w:tcPr>
            <w:tcW w:type="dxa" w:w="2608"/>
            <w:vAlign w:val="center"/>
            <w:shd w:fill="EEF3FA"/>
          </w:tcPr>
          <w:p>
            <w:pPr>
              <w:spacing w:after="0" w:line="247" w:lineRule="auto"/>
            </w:pPr>
            <w:r/>
            <w:r>
              <w:rPr>
                <w:b w:val="0"/>
                <w:sz w:val="17"/>
              </w:rPr>
              <w:t>All periods</w:t>
            </w:r>
          </w:p>
        </w:tc>
        <w:tc>
          <w:tcPr>
            <w:tcW w:type="dxa" w:w="2948"/>
            <w:vAlign w:val="center"/>
          </w:tcPr>
          <w:p>
            <w:pPr>
              <w:spacing w:after="0" w:line="247" w:lineRule="auto"/>
            </w:pPr>
            <w:r/>
            <w:r>
              <w:rPr>
                <w:b w:val="0"/>
                <w:sz w:val="17"/>
              </w:rPr>
              <w:t>+3.98%</w:t>
            </w:r>
          </w:p>
        </w:tc>
        <w:tc>
          <w:tcPr>
            <w:tcW w:type="dxa" w:w="2948"/>
            <w:vAlign w:val="center"/>
          </w:tcPr>
          <w:p>
            <w:pPr>
              <w:spacing w:after="0" w:line="247" w:lineRule="auto"/>
            </w:pPr>
            <w:r/>
            <w:r>
              <w:rPr>
                <w:b w:val="0"/>
                <w:sz w:val="17"/>
              </w:rPr>
              <w:t>+6.39%</w:t>
            </w:r>
          </w:p>
        </w:tc>
        <w:tc>
          <w:tcPr>
            <w:tcW w:type="dxa" w:w="5669"/>
            <w:vAlign w:val="center"/>
          </w:tcPr>
          <w:p>
            <w:pPr>
              <w:spacing w:after="0" w:line="247" w:lineRule="auto"/>
            </w:pPr>
            <w:r/>
            <w:r>
              <w:rPr>
                <w:b w:val="0"/>
                <w:sz w:val="17"/>
              </w:rPr>
              <w:t>0.657 Sharpe; 57.63% hit rate</w:t>
            </w:r>
          </w:p>
        </w:tc>
      </w:tr>
      <w:tr>
        <w:tc>
          <w:tcPr>
            <w:tcW w:type="dxa" w:w="2608"/>
            <w:vAlign w:val="center"/>
            <w:shd w:fill="EEF3FA"/>
          </w:tcPr>
          <w:p>
            <w:pPr>
              <w:spacing w:after="0" w:line="247" w:lineRule="auto"/>
            </w:pPr>
            <w:r/>
            <w:r>
              <w:rPr>
                <w:b w:val="0"/>
                <w:sz w:val="17"/>
              </w:rPr>
              <w:t>Normal</w:t>
            </w:r>
          </w:p>
        </w:tc>
        <w:tc>
          <w:tcPr>
            <w:tcW w:type="dxa" w:w="2948"/>
            <w:vAlign w:val="center"/>
            <w:shd w:fill="FAFBFD"/>
          </w:tcPr>
          <w:p>
            <w:pPr>
              <w:spacing w:after="0" w:line="247" w:lineRule="auto"/>
            </w:pPr>
            <w:r/>
            <w:r>
              <w:rPr>
                <w:b w:val="0"/>
                <w:sz w:val="17"/>
              </w:rPr>
              <w:t>+3.84%</w:t>
            </w:r>
          </w:p>
        </w:tc>
        <w:tc>
          <w:tcPr>
            <w:tcW w:type="dxa" w:w="2948"/>
            <w:vAlign w:val="center"/>
            <w:shd w:fill="FAFBFD"/>
          </w:tcPr>
          <w:p>
            <w:pPr>
              <w:spacing w:after="0" w:line="247" w:lineRule="auto"/>
            </w:pPr>
            <w:r/>
            <w:r>
              <w:rPr>
                <w:b w:val="0"/>
                <w:sz w:val="17"/>
              </w:rPr>
              <w:t>+6.75%</w:t>
            </w:r>
          </w:p>
        </w:tc>
        <w:tc>
          <w:tcPr>
            <w:tcW w:type="dxa" w:w="5669"/>
            <w:vAlign w:val="center"/>
            <w:shd w:fill="FAFBFD"/>
          </w:tcPr>
          <w:p>
            <w:pPr>
              <w:spacing w:after="0" w:line="247" w:lineRule="auto"/>
            </w:pPr>
            <w:r/>
            <w:r>
              <w:rPr>
                <w:b w:val="0"/>
                <w:sz w:val="17"/>
              </w:rPr>
              <w:t>0.958 Sharpe; 58.82% hit rate</w:t>
            </w:r>
          </w:p>
        </w:tc>
      </w:tr>
      <w:tr>
        <w:tc>
          <w:tcPr>
            <w:tcW w:type="dxa" w:w="2608"/>
            <w:vAlign w:val="center"/>
            <w:shd w:fill="EEF3FA"/>
          </w:tcPr>
          <w:p>
            <w:pPr>
              <w:spacing w:after="0" w:line="247" w:lineRule="auto"/>
            </w:pPr>
            <w:r/>
            <w:r>
              <w:rPr>
                <w:b w:val="0"/>
                <w:sz w:val="17"/>
              </w:rPr>
              <w:t>Stress</w:t>
            </w:r>
          </w:p>
        </w:tc>
        <w:tc>
          <w:tcPr>
            <w:tcW w:type="dxa" w:w="2948"/>
            <w:vAlign w:val="center"/>
          </w:tcPr>
          <w:p>
            <w:pPr>
              <w:spacing w:after="0" w:line="247" w:lineRule="auto"/>
            </w:pPr>
            <w:r/>
            <w:r>
              <w:rPr>
                <w:b w:val="0"/>
                <w:sz w:val="17"/>
              </w:rPr>
              <w:t>+4.43%</w:t>
            </w:r>
          </w:p>
        </w:tc>
        <w:tc>
          <w:tcPr>
            <w:tcW w:type="dxa" w:w="2948"/>
            <w:vAlign w:val="center"/>
          </w:tcPr>
          <w:p>
            <w:pPr>
              <w:spacing w:after="0" w:line="247" w:lineRule="auto"/>
            </w:pPr>
            <w:r/>
            <w:r>
              <w:rPr>
                <w:b w:val="0"/>
                <w:sz w:val="17"/>
              </w:rPr>
              <w:t>+4.48%</w:t>
            </w:r>
          </w:p>
        </w:tc>
        <w:tc>
          <w:tcPr>
            <w:tcW w:type="dxa" w:w="5669"/>
            <w:vAlign w:val="center"/>
          </w:tcPr>
          <w:p>
            <w:pPr>
              <w:spacing w:after="0" w:line="247" w:lineRule="auto"/>
            </w:pPr>
            <w:r/>
            <w:r>
              <w:rPr>
                <w:b w:val="0"/>
                <w:sz w:val="17"/>
              </w:rPr>
              <w:t>-0.829 Sharpe; Section 4.6.2 mentioned SPY as part of the long-only comparison but did not separately report stress excess vs SPY</w:t>
            </w:r>
          </w:p>
        </w:tc>
      </w:tr>
    </w:tbl>
    <w:p/>
    <w:tbl>
      <w:tblPr>
        <w:tblStyle w:val="RevisionTable"/>
        <w:tblW w:type="auto" w:w="0"/>
        <w:jc w:val="center"/>
        <w:tblLook w:firstColumn="1" w:firstRow="1" w:lastColumn="0" w:lastRow="0" w:noHBand="0" w:noVBand="1" w:val="04A0"/>
      </w:tblPr>
      <w:tblGrid>
        <w:gridCol w:w="2203"/>
        <w:gridCol w:w="2203"/>
        <w:gridCol w:w="2203"/>
        <w:gridCol w:w="2203"/>
        <w:gridCol w:w="2203"/>
        <w:gridCol w:w="2203"/>
        <w:gridCol w:w="2203"/>
      </w:tblGrid>
      <w:tr>
        <w:tc>
          <w:tcPr>
            <w:tcW w:type="dxa" w:w="1814"/>
            <w:shd w:fill="1F3A5F"/>
          </w:tcPr>
          <w:p>
            <w:pPr>
              <w:spacing w:after="0" w:line="247" w:lineRule="auto"/>
            </w:pPr>
            <w:r/>
            <w:r>
              <w:rPr>
                <w:b/>
                <w:color w:val="FFFFFF"/>
                <w:sz w:val="18"/>
              </w:rPr>
              <w:t>Regime</w:t>
            </w:r>
          </w:p>
        </w:tc>
        <w:tc>
          <w:tcPr>
            <w:tcW w:type="dxa" w:w="2154"/>
            <w:shd w:fill="1F3A5F"/>
          </w:tcPr>
          <w:p>
            <w:pPr>
              <w:spacing w:after="0" w:line="247" w:lineRule="auto"/>
            </w:pPr>
            <w:r/>
            <w:r>
              <w:rPr>
                <w:b/>
                <w:color w:val="FFFFFF"/>
                <w:sz w:val="18"/>
              </w:rPr>
              <w:t>Formal strategy return</w:t>
            </w:r>
          </w:p>
        </w:tc>
        <w:tc>
          <w:tcPr>
            <w:tcW w:type="dxa" w:w="2324"/>
            <w:shd w:fill="1F3A5F"/>
          </w:tcPr>
          <w:p>
            <w:pPr>
              <w:spacing w:after="0" w:line="247" w:lineRule="auto"/>
            </w:pPr>
            <w:r/>
            <w:r>
              <w:rPr>
                <w:b/>
                <w:color w:val="FFFFFF"/>
                <w:sz w:val="18"/>
              </w:rPr>
              <w:t>Formal excess vs SPY</w:t>
            </w:r>
          </w:p>
        </w:tc>
        <w:tc>
          <w:tcPr>
            <w:tcW w:type="dxa" w:w="2551"/>
            <w:shd w:fill="1F3A5F"/>
          </w:tcPr>
          <w:p>
            <w:pPr>
              <w:spacing w:after="0" w:line="247" w:lineRule="auto"/>
            </w:pPr>
            <w:r/>
            <w:r>
              <w:rPr>
                <w:b/>
                <w:color w:val="FFFFFF"/>
                <w:sz w:val="18"/>
              </w:rPr>
              <w:t>Formal excess vs Universe EW</w:t>
            </w:r>
          </w:p>
        </w:tc>
        <w:tc>
          <w:tcPr>
            <w:tcW w:type="dxa" w:w="2381"/>
            <w:shd w:fill="1F3A5F"/>
          </w:tcPr>
          <w:p>
            <w:pPr>
              <w:spacing w:after="0" w:line="247" w:lineRule="auto"/>
            </w:pPr>
            <w:r/>
            <w:r>
              <w:rPr>
                <w:b/>
                <w:color w:val="FFFFFF"/>
                <w:sz w:val="18"/>
              </w:rPr>
              <w:t>Formal excess vs static</w:t>
            </w:r>
          </w:p>
        </w:tc>
        <w:tc>
          <w:tcPr>
            <w:tcW w:type="dxa" w:w="2268"/>
            <w:shd w:fill="1F3A5F"/>
          </w:tcPr>
          <w:p>
            <w:pPr>
              <w:spacing w:after="0" w:line="247" w:lineRule="auto"/>
            </w:pPr>
            <w:r/>
            <w:r>
              <w:rPr>
                <w:b/>
                <w:color w:val="FFFFFF"/>
                <w:sz w:val="18"/>
              </w:rPr>
              <w:t>Formal strategy MDD</w:t>
            </w:r>
          </w:p>
        </w:tc>
        <w:tc>
          <w:tcPr>
            <w:tcW w:type="dxa" w:w="2268"/>
            <w:shd w:fill="1F3A5F"/>
          </w:tcPr>
          <w:p>
            <w:pPr>
              <w:spacing w:after="0" w:line="247" w:lineRule="auto"/>
            </w:pPr>
            <w:r/>
            <w:r>
              <w:rPr>
                <w:b/>
                <w:color w:val="FFFFFF"/>
                <w:sz w:val="18"/>
              </w:rPr>
              <w:t>Static baseline MDD</w:t>
            </w:r>
          </w:p>
        </w:tc>
      </w:tr>
      <w:tr>
        <w:tc>
          <w:tcPr>
            <w:tcW w:type="dxa" w:w="1814"/>
            <w:vAlign w:val="center"/>
            <w:shd w:fill="EEF3FA"/>
          </w:tcPr>
          <w:p>
            <w:pPr>
              <w:spacing w:after="0" w:line="247" w:lineRule="auto"/>
            </w:pPr>
            <w:r/>
            <w:r>
              <w:rPr>
                <w:b w:val="0"/>
                <w:sz w:val="17"/>
              </w:rPr>
              <w:t>All periods</w:t>
            </w:r>
          </w:p>
        </w:tc>
        <w:tc>
          <w:tcPr>
            <w:tcW w:type="dxa" w:w="2154"/>
            <w:vAlign w:val="center"/>
          </w:tcPr>
          <w:p>
            <w:pPr>
              <w:spacing w:after="0" w:line="247" w:lineRule="auto"/>
            </w:pPr>
            <w:r/>
            <w:r>
              <w:rPr>
                <w:b w:val="0"/>
                <w:sz w:val="17"/>
              </w:rPr>
              <w:t>11.94%</w:t>
            </w:r>
          </w:p>
        </w:tc>
        <w:tc>
          <w:tcPr>
            <w:tcW w:type="dxa" w:w="2324"/>
            <w:vAlign w:val="center"/>
          </w:tcPr>
          <w:p>
            <w:pPr>
              <w:spacing w:after="0" w:line="247" w:lineRule="auto"/>
            </w:pPr>
            <w:r/>
            <w:r>
              <w:rPr>
                <w:b w:val="0"/>
                <w:sz w:val="17"/>
              </w:rPr>
              <w:t>0.84%</w:t>
            </w:r>
          </w:p>
        </w:tc>
        <w:tc>
          <w:tcPr>
            <w:tcW w:type="dxa" w:w="2551"/>
            <w:vAlign w:val="center"/>
          </w:tcPr>
          <w:p>
            <w:pPr>
              <w:spacing w:after="0" w:line="247" w:lineRule="auto"/>
            </w:pPr>
            <w:r/>
            <w:r>
              <w:rPr>
                <w:b w:val="0"/>
                <w:sz w:val="17"/>
              </w:rPr>
              <w:t>2.58%</w:t>
            </w:r>
          </w:p>
        </w:tc>
        <w:tc>
          <w:tcPr>
            <w:tcW w:type="dxa" w:w="2381"/>
            <w:vAlign w:val="center"/>
          </w:tcPr>
          <w:p>
            <w:pPr>
              <w:spacing w:after="0" w:line="247" w:lineRule="auto"/>
            </w:pPr>
            <w:r/>
            <w:r>
              <w:rPr>
                <w:b w:val="0"/>
                <w:sz w:val="17"/>
              </w:rPr>
              <w:t>4.32%</w:t>
            </w:r>
          </w:p>
        </w:tc>
        <w:tc>
          <w:tcPr>
            <w:tcW w:type="dxa" w:w="2268"/>
            <w:vAlign w:val="center"/>
          </w:tcPr>
          <w:p>
            <w:pPr>
              <w:spacing w:after="0" w:line="247" w:lineRule="auto"/>
            </w:pPr>
            <w:r/>
            <w:r>
              <w:rPr>
                <w:b w:val="0"/>
                <w:sz w:val="17"/>
              </w:rPr>
              <w:t>17.13%</w:t>
            </w:r>
          </w:p>
        </w:tc>
        <w:tc>
          <w:tcPr>
            <w:tcW w:type="dxa" w:w="2268"/>
            <w:vAlign w:val="center"/>
          </w:tcPr>
          <w:p>
            <w:pPr>
              <w:spacing w:after="0" w:line="247" w:lineRule="auto"/>
            </w:pPr>
            <w:r/>
            <w:r>
              <w:rPr>
                <w:b w:val="0"/>
                <w:sz w:val="17"/>
              </w:rPr>
              <w:t>16.27%</w:t>
            </w:r>
          </w:p>
        </w:tc>
      </w:tr>
      <w:tr>
        <w:tc>
          <w:tcPr>
            <w:tcW w:type="dxa" w:w="1814"/>
            <w:vAlign w:val="center"/>
            <w:shd w:fill="EEF3FA"/>
          </w:tcPr>
          <w:p>
            <w:pPr>
              <w:spacing w:after="0" w:line="247" w:lineRule="auto"/>
            </w:pPr>
            <w:r/>
            <w:r>
              <w:rPr>
                <w:b w:val="0"/>
                <w:sz w:val="17"/>
              </w:rPr>
              <w:t>Normal</w:t>
            </w:r>
          </w:p>
        </w:tc>
        <w:tc>
          <w:tcPr>
            <w:tcW w:type="dxa" w:w="2154"/>
            <w:vAlign w:val="center"/>
            <w:shd w:fill="FAFBFD"/>
          </w:tcPr>
          <w:p>
            <w:pPr>
              <w:spacing w:after="0" w:line="247" w:lineRule="auto"/>
            </w:pPr>
            <w:r/>
            <w:r>
              <w:rPr>
                <w:b w:val="0"/>
                <w:sz w:val="17"/>
              </w:rPr>
              <w:t>17.08%</w:t>
            </w:r>
          </w:p>
        </w:tc>
        <w:tc>
          <w:tcPr>
            <w:tcW w:type="dxa" w:w="2324"/>
            <w:vAlign w:val="center"/>
            <w:shd w:fill="FAFBFD"/>
          </w:tcPr>
          <w:p>
            <w:pPr>
              <w:spacing w:after="0" w:line="247" w:lineRule="auto"/>
            </w:pPr>
            <w:r/>
            <w:r>
              <w:rPr>
                <w:b w:val="0"/>
                <w:sz w:val="17"/>
              </w:rPr>
              <w:t>2.92%</w:t>
            </w:r>
          </w:p>
        </w:tc>
        <w:tc>
          <w:tcPr>
            <w:tcW w:type="dxa" w:w="2551"/>
            <w:vAlign w:val="center"/>
            <w:shd w:fill="FAFBFD"/>
          </w:tcPr>
          <w:p>
            <w:pPr>
              <w:spacing w:after="0" w:line="247" w:lineRule="auto"/>
            </w:pPr>
            <w:r/>
            <w:r>
              <w:rPr>
                <w:b w:val="0"/>
                <w:sz w:val="17"/>
              </w:rPr>
              <w:t>2.21%</w:t>
            </w:r>
          </w:p>
        </w:tc>
        <w:tc>
          <w:tcPr>
            <w:tcW w:type="dxa" w:w="2381"/>
            <w:vAlign w:val="center"/>
            <w:shd w:fill="FAFBFD"/>
          </w:tcPr>
          <w:p>
            <w:pPr>
              <w:spacing w:after="0" w:line="247" w:lineRule="auto"/>
            </w:pPr>
            <w:r/>
            <w:r>
              <w:rPr>
                <w:b w:val="0"/>
                <w:sz w:val="17"/>
              </w:rPr>
              <w:t>5.43%</w:t>
            </w:r>
          </w:p>
        </w:tc>
        <w:tc>
          <w:tcPr>
            <w:tcW w:type="dxa" w:w="2268"/>
            <w:vAlign w:val="center"/>
            <w:shd w:fill="FAFBFD"/>
          </w:tcPr>
          <w:p>
            <w:pPr>
              <w:spacing w:after="0" w:line="247" w:lineRule="auto"/>
            </w:pPr>
            <w:r/>
            <w:r>
              <w:rPr>
                <w:b w:val="0"/>
                <w:sz w:val="17"/>
              </w:rPr>
              <w:t>10.61%</w:t>
            </w:r>
          </w:p>
        </w:tc>
        <w:tc>
          <w:tcPr>
            <w:tcW w:type="dxa" w:w="2268"/>
            <w:vAlign w:val="center"/>
            <w:shd w:fill="FAFBFD"/>
          </w:tcPr>
          <w:p>
            <w:pPr>
              <w:spacing w:after="0" w:line="247" w:lineRule="auto"/>
            </w:pPr>
            <w:r/>
            <w:r>
              <w:rPr>
                <w:b w:val="0"/>
                <w:sz w:val="17"/>
              </w:rPr>
              <w:t>10.33%</w:t>
            </w:r>
          </w:p>
        </w:tc>
      </w:tr>
      <w:tr>
        <w:tc>
          <w:tcPr>
            <w:tcW w:type="dxa" w:w="1814"/>
            <w:vAlign w:val="center"/>
            <w:shd w:fill="EEF3FA"/>
          </w:tcPr>
          <w:p>
            <w:pPr>
              <w:spacing w:after="0" w:line="247" w:lineRule="auto"/>
            </w:pPr>
            <w:r/>
            <w:r>
              <w:rPr>
                <w:b w:val="0"/>
                <w:sz w:val="17"/>
              </w:rPr>
              <w:t>Stress</w:t>
            </w:r>
          </w:p>
        </w:tc>
        <w:tc>
          <w:tcPr>
            <w:tcW w:type="dxa" w:w="2154"/>
            <w:vAlign w:val="center"/>
          </w:tcPr>
          <w:p>
            <w:pPr>
              <w:spacing w:after="0" w:line="247" w:lineRule="auto"/>
            </w:pPr>
            <w:r/>
            <w:r>
              <w:rPr>
                <w:b w:val="0"/>
                <w:sz w:val="17"/>
              </w:rPr>
              <w:t>-15.91%</w:t>
            </w:r>
          </w:p>
        </w:tc>
        <w:tc>
          <w:tcPr>
            <w:tcW w:type="dxa" w:w="2324"/>
            <w:vAlign w:val="center"/>
          </w:tcPr>
          <w:p>
            <w:pPr>
              <w:spacing w:after="0" w:line="247" w:lineRule="auto"/>
            </w:pPr>
            <w:r/>
            <w:r>
              <w:rPr>
                <w:b w:val="0"/>
                <w:sz w:val="17"/>
              </w:rPr>
              <w:t>-2.49%</w:t>
            </w:r>
          </w:p>
        </w:tc>
        <w:tc>
          <w:tcPr>
            <w:tcW w:type="dxa" w:w="2551"/>
            <w:vAlign w:val="center"/>
          </w:tcPr>
          <w:p>
            <w:pPr>
              <w:spacing w:after="0" w:line="247" w:lineRule="auto"/>
            </w:pPr>
            <w:r/>
            <w:r>
              <w:rPr>
                <w:b w:val="0"/>
                <w:sz w:val="17"/>
              </w:rPr>
              <w:t>4.10%</w:t>
            </w:r>
          </w:p>
        </w:tc>
        <w:tc>
          <w:tcPr>
            <w:tcW w:type="dxa" w:w="2381"/>
            <w:vAlign w:val="center"/>
          </w:tcPr>
          <w:p>
            <w:pPr>
              <w:spacing w:after="0" w:line="247" w:lineRule="auto"/>
            </w:pPr>
            <w:r/>
            <w:r>
              <w:rPr>
                <w:b w:val="0"/>
                <w:sz w:val="17"/>
              </w:rPr>
              <w:t>-1.03%</w:t>
            </w:r>
          </w:p>
        </w:tc>
        <w:tc>
          <w:tcPr>
            <w:tcW w:type="dxa" w:w="2268"/>
            <w:vAlign w:val="center"/>
          </w:tcPr>
          <w:p>
            <w:pPr>
              <w:spacing w:after="0" w:line="247" w:lineRule="auto"/>
            </w:pPr>
            <w:r/>
            <w:r>
              <w:rPr>
                <w:b w:val="0"/>
                <w:sz w:val="17"/>
              </w:rPr>
              <w:t>13.18%</w:t>
            </w:r>
          </w:p>
        </w:tc>
        <w:tc>
          <w:tcPr>
            <w:tcW w:type="dxa" w:w="2268"/>
            <w:vAlign w:val="center"/>
          </w:tcPr>
          <w:p>
            <w:pPr>
              <w:spacing w:after="0" w:line="247" w:lineRule="auto"/>
            </w:pPr>
            <w:r/>
            <w:r>
              <w:rPr>
                <w:b w:val="0"/>
                <w:sz w:val="17"/>
              </w:rPr>
              <w:t>11.78%</w:t>
            </w:r>
          </w:p>
        </w:tc>
      </w:tr>
    </w:tbl>
    <w:p/>
    <w:tbl>
      <w:tblPr>
        <w:tblStyle w:val="RevisionTable"/>
        <w:tblW w:type="auto" w:w="0"/>
        <w:jc w:val="center"/>
        <w:tblLook w:firstColumn="1" w:firstRow="1" w:lastColumn="0" w:lastRow="0" w:noHBand="0" w:noVBand="1" w:val="04A0"/>
      </w:tblPr>
      <w:tblGrid>
        <w:gridCol w:w="7710"/>
        <w:gridCol w:w="7710"/>
      </w:tblGrid>
      <w:tr>
        <w:tc>
          <w:tcPr>
            <w:tcW w:type="dxa" w:w="7030"/>
            <w:shd w:fill="1F3A5F"/>
          </w:tcPr>
          <w:p>
            <w:pPr>
              <w:spacing w:after="0" w:line="247" w:lineRule="auto"/>
            </w:pPr>
            <w:r/>
            <w:r>
              <w:rPr>
                <w:b/>
                <w:color w:val="FFFFFF"/>
                <w:sz w:val="18"/>
              </w:rPr>
              <w:t>Previous report body claim</w:t>
            </w:r>
          </w:p>
        </w:tc>
        <w:tc>
          <w:tcPr>
            <w:tcW w:type="dxa" w:w="8391"/>
            <w:shd w:fill="1F3A5F"/>
          </w:tcPr>
          <w:p>
            <w:pPr>
              <w:spacing w:after="0" w:line="247" w:lineRule="auto"/>
            </w:pPr>
            <w:r/>
            <w:r>
              <w:rPr>
                <w:b/>
                <w:color w:val="FFFFFF"/>
                <w:sz w:val="18"/>
              </w:rPr>
              <w:t>Final report body wording</w:t>
            </w:r>
          </w:p>
        </w:tc>
      </w:tr>
      <w:tr>
        <w:tc>
          <w:tcPr>
            <w:tcW w:type="dxa" w:w="7030"/>
            <w:vAlign w:val="center"/>
            <w:shd w:fill="EEF3FA"/>
          </w:tcPr>
          <w:p>
            <w:pPr>
              <w:spacing w:after="0" w:line="247" w:lineRule="auto"/>
            </w:pPr>
            <w:r/>
            <w:r>
              <w:rPr>
                <w:b w:val="0"/>
                <w:sz w:val="17"/>
              </w:rPr>
              <w:t>Section 4.6.2 stated that the stress-regime answer was unambiguous: the strategy lost less than the alternatives, had positive annualized excess returns versus both Universe EW and static_baseline, and the regime-aware composite minimised losses.</w:t>
            </w:r>
          </w:p>
        </w:tc>
        <w:tc>
          <w:tcPr>
            <w:tcW w:type="dxa" w:w="8391"/>
            <w:vAlign w:val="center"/>
          </w:tcPr>
          <w:p>
            <w:pPr>
              <w:spacing w:after="0" w:line="247" w:lineRule="auto"/>
            </w:pPr>
            <w:r/>
            <w:r>
              <w:rPr>
                <w:b w:val="0"/>
                <w:sz w:val="17"/>
              </w:rPr>
              <w:t>Regime attribution is now led by the primary SPY baseline and supported by Universe EW and static_baseline. In normal months, the strategy remains strong, with a 17.08% annualized return, 2.92% annualized excess return versus SPY, 2.21% annualized excess return versus Universe EW, and 5.43% annualized excess return versus the static baseline. Across all periods, annualized excess return remains positive versus all three comparators. In stress months, the strategy still outperforms Universe EW by 4.10% annualized, but it underperforms SPY by 2.49% annualized and underperforms the static baseline by 1.03% annualized. The final stress conclusion is mixed rather than uniformly strong.</w:t>
            </w:r>
          </w:p>
        </w:tc>
      </w:tr>
    </w:tbl>
    <w:p/>
    <w:p>
      <w:r>
        <w:br w:type="page"/>
      </w:r>
    </w:p>
    <w:p>
      <w:pPr>
        <w:pStyle w:val="Heading1"/>
      </w:pPr>
      <w:r>
        <w:t>3. Primary-Baseline SPY Corrections from the Final Revision Table</w:t>
      </w:r>
    </w:p>
    <w:p>
      <w:pPr>
        <w:spacing w:after="100"/>
      </w:pPr>
      <w:r>
        <w:t>This section adds the SPY primary-baseline corrections from the full final revision table and classifies them by Part 1 to Part 5. The first two sections above already cover transaction cost and normal/stress regime wording; the tables below show what is newly added or reclassified compared with the previous transaction/regime document now that SPY is the final report's main benchmark.</w:t>
      </w:r>
    </w:p>
    <w:p>
      <w:pPr>
        <w:pStyle w:val="Heading2"/>
      </w:pPr>
      <w:r>
        <w:t>Part 1 - Deterministic Sensitivity</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81"/>
            <w:shd w:fill="1F3A5F"/>
          </w:tcPr>
          <w:p>
            <w:pPr>
              <w:spacing w:after="0" w:line="247" w:lineRule="auto"/>
            </w:pPr>
            <w:r/>
            <w:r>
              <w:rPr>
                <w:b/>
                <w:color w:val="FFFFFF"/>
                <w:sz w:val="18"/>
              </w:rPr>
              <w:t>Primary-baseline item</w:t>
            </w:r>
          </w:p>
        </w:tc>
        <w:tc>
          <w:tcPr>
            <w:tcW w:type="dxa" w:w="4025"/>
            <w:shd w:fill="1F3A5F"/>
          </w:tcPr>
          <w:p>
            <w:pPr>
              <w:spacing w:after="0" w:line="247" w:lineRule="auto"/>
            </w:pPr>
            <w:r/>
            <w:r>
              <w:rPr>
                <w:b/>
                <w:color w:val="FFFFFF"/>
                <w:sz w:val="18"/>
              </w:rPr>
              <w:t>Previous document treatment</w:t>
            </w:r>
          </w:p>
        </w:tc>
        <w:tc>
          <w:tcPr>
            <w:tcW w:type="dxa" w:w="4535"/>
            <w:shd w:fill="1F3A5F"/>
          </w:tcPr>
          <w:p>
            <w:pPr>
              <w:spacing w:after="0" w:line="247" w:lineRule="auto"/>
            </w:pPr>
            <w:r/>
            <w:r>
              <w:rPr>
                <w:b/>
                <w:color w:val="FFFFFF"/>
                <w:sz w:val="18"/>
              </w:rPr>
              <w:t>Formal SPY primary-baseline evidence</w:t>
            </w:r>
          </w:p>
        </w:tc>
        <w:tc>
          <w:tcPr>
            <w:tcW w:type="dxa" w:w="4082"/>
            <w:shd w:fill="1F3A5F"/>
          </w:tcPr>
          <w:p>
            <w:pPr>
              <w:spacing w:after="0" w:line="247" w:lineRule="auto"/>
            </w:pPr>
            <w:r/>
            <w:r>
              <w:rPr>
                <w:b/>
                <w:color w:val="FFFFFF"/>
                <w:sz w:val="18"/>
              </w:rPr>
              <w:t>Difference in final report wording</w:t>
            </w:r>
          </w:p>
        </w:tc>
      </w:tr>
      <w:tr>
        <w:tc>
          <w:tcPr>
            <w:tcW w:type="dxa" w:w="2381"/>
            <w:vAlign w:val="center"/>
            <w:shd w:fill="EEF3FA"/>
          </w:tcPr>
          <w:p>
            <w:pPr>
              <w:spacing w:after="0" w:line="247" w:lineRule="auto"/>
            </w:pPr>
            <w:r/>
            <w:r>
              <w:rPr>
                <w:b w:val="0"/>
                <w:sz w:val="17"/>
              </w:rPr>
              <w:t>Baseline headline vs SPY</w:t>
            </w:r>
          </w:p>
        </w:tc>
        <w:tc>
          <w:tcPr>
            <w:tcW w:type="dxa" w:w="4025"/>
            <w:vAlign w:val="center"/>
          </w:tcPr>
          <w:p>
            <w:pPr>
              <w:spacing w:after="0" w:line="247" w:lineRule="auto"/>
            </w:pPr>
            <w:r/>
            <w:r>
              <w:rPr>
                <w:b w:val="0"/>
                <w:sz w:val="17"/>
              </w:rPr>
              <w:t>The previous transaction/regime document did not classify the headline SPY change under Part 1.</w:t>
            </w:r>
          </w:p>
        </w:tc>
        <w:tc>
          <w:tcPr>
            <w:tcW w:type="dxa" w:w="4535"/>
            <w:vAlign w:val="center"/>
          </w:tcPr>
          <w:p>
            <w:pPr>
              <w:spacing w:after="0" w:line="247" w:lineRule="auto"/>
            </w:pPr>
            <w:r/>
            <w:r>
              <w:rPr>
                <w:b w:val="0"/>
                <w:sz w:val="17"/>
              </w:rPr>
              <w:t>Formal: +3.79% total excess, +0.84% annualized excess, IR 0.126, hit rate 50.85%, SPY drawdown advantage 5.24 percentage points.</w:t>
            </w:r>
          </w:p>
        </w:tc>
        <w:tc>
          <w:tcPr>
            <w:tcW w:type="dxa" w:w="4082"/>
            <w:vAlign w:val="center"/>
          </w:tcPr>
          <w:p>
            <w:pPr>
              <w:spacing w:after="0" w:line="247" w:lineRule="auto"/>
            </w:pPr>
            <w:r/>
            <w:r>
              <w:rPr>
                <w:b w:val="0"/>
                <w:sz w:val="17"/>
              </w:rPr>
              <w:t>Final wording difference: As the primary baseline, SPY supports a positive but modest active-return conclusion. Universe EW and static_baseline are retained as supporting comparators rather than the headline benchmark.</w:t>
            </w:r>
          </w:p>
        </w:tc>
      </w:tr>
      <w:tr>
        <w:tc>
          <w:tcPr>
            <w:tcW w:type="dxa" w:w="2381"/>
            <w:vAlign w:val="center"/>
            <w:shd w:fill="EEF3FA"/>
          </w:tcPr>
          <w:p>
            <w:pPr>
              <w:spacing w:after="0" w:line="247" w:lineRule="auto"/>
            </w:pPr>
            <w:r/>
            <w:r>
              <w:rPr>
                <w:b w:val="0"/>
                <w:sz w:val="17"/>
              </w:rPr>
              <w:t>Test 1 transaction-cost sensitivity</w:t>
            </w:r>
          </w:p>
        </w:tc>
        <w:tc>
          <w:tcPr>
            <w:tcW w:type="dxa" w:w="4025"/>
            <w:vAlign w:val="center"/>
            <w:shd w:fill="FAFBFD"/>
          </w:tcPr>
          <w:p>
            <w:pPr>
              <w:spacing w:after="0" w:line="247" w:lineRule="auto"/>
            </w:pPr>
            <w:r/>
            <w:r>
              <w:rPr>
                <w:b w:val="0"/>
                <w:sz w:val="17"/>
              </w:rPr>
              <w:t>The previous document already corrected the cost table, but it was not connected to the Part 1 SPY sensitivity list.</w:t>
            </w:r>
          </w:p>
        </w:tc>
        <w:tc>
          <w:tcPr>
            <w:tcW w:type="dxa" w:w="4535"/>
            <w:vAlign w:val="center"/>
            <w:shd w:fill="FAFBFD"/>
          </w:tcPr>
          <w:p>
            <w:pPr>
              <w:spacing w:after="0" w:line="247" w:lineRule="auto"/>
            </w:pPr>
            <w:r/>
            <w:r>
              <w:rPr>
                <w:b w:val="0"/>
                <w:sz w:val="17"/>
              </w:rPr>
              <w:t>At 25 bps, excess return is 0.48% versus SPY and 2.21% versus Universe EW. At 40 bps, excess return is -0.07% versus SPY and 1.66% versus Universe EW.</w:t>
            </w:r>
          </w:p>
        </w:tc>
        <w:tc>
          <w:tcPr>
            <w:tcW w:type="dxa" w:w="4082"/>
            <w:vAlign w:val="center"/>
            <w:shd w:fill="FAFBFD"/>
          </w:tcPr>
          <w:p>
            <w:pPr>
              <w:spacing w:after="0" w:line="247" w:lineRule="auto"/>
            </w:pPr>
            <w:r/>
            <w:r>
              <w:rPr>
                <w:b w:val="0"/>
                <w:sz w:val="17"/>
              </w:rPr>
              <w:t>Final wording difference: Cost resilience is judged first versus SPY. The strategy remains positive at 25 bps versus the primary baseline, while the 40 bps SPY line turns slightly negative. Universe EW shows stronger supporting resilience.</w:t>
            </w:r>
          </w:p>
        </w:tc>
      </w:tr>
      <w:tr>
        <w:tc>
          <w:tcPr>
            <w:tcW w:type="dxa" w:w="2381"/>
            <w:vAlign w:val="center"/>
            <w:shd w:fill="EEF3FA"/>
          </w:tcPr>
          <w:p>
            <w:pPr>
              <w:spacing w:after="0" w:line="247" w:lineRule="auto"/>
            </w:pPr>
            <w:r/>
            <w:r>
              <w:rPr>
                <w:b w:val="0"/>
                <w:sz w:val="17"/>
              </w:rPr>
              <w:t>Test 2 date-window sensitivity</w:t>
            </w:r>
          </w:p>
        </w:tc>
        <w:tc>
          <w:tcPr>
            <w:tcW w:type="dxa" w:w="4025"/>
            <w:vAlign w:val="center"/>
          </w:tcPr>
          <w:p>
            <w:pPr>
              <w:spacing w:after="0" w:line="247" w:lineRule="auto"/>
            </w:pPr>
            <w:r/>
            <w:r>
              <w:rPr>
                <w:b w:val="0"/>
                <w:sz w:val="17"/>
              </w:rPr>
              <w:t>The previous document did not include the date-window SPY correction.</w:t>
            </w:r>
          </w:p>
        </w:tc>
        <w:tc>
          <w:tcPr>
            <w:tcW w:type="dxa" w:w="4535"/>
            <w:vAlign w:val="center"/>
          </w:tcPr>
          <w:p>
            <w:pPr>
              <w:spacing w:after="0" w:line="247" w:lineRule="auto"/>
            </w:pPr>
            <w:r/>
            <w:r>
              <w:rPr>
                <w:b w:val="0"/>
                <w:sz w:val="17"/>
              </w:rPr>
              <w:t>Formal SPY excess range across window scenarios: -0.32% to 1.50%. The minus-6-month window is negative versus SPY while remaining positive versus Universe EW and static baseline.</w:t>
            </w:r>
          </w:p>
        </w:tc>
        <w:tc>
          <w:tcPr>
            <w:tcW w:type="dxa" w:w="4082"/>
            <w:vAlign w:val="center"/>
          </w:tcPr>
          <w:p>
            <w:pPr>
              <w:spacing w:after="0" w:line="247" w:lineRule="auto"/>
            </w:pPr>
            <w:r/>
            <w:r>
              <w:rPr>
                <w:b w:val="0"/>
                <w:sz w:val="17"/>
              </w:rPr>
              <w:t>Final wording difference: Window robustness is reported against SPY as the main baseline. Internal benchmarks explain why the process remains coherent, but the final wording uses the weaker SPY range as the main evidence.</w:t>
            </w:r>
          </w:p>
        </w:tc>
      </w:tr>
      <w:tr>
        <w:tc>
          <w:tcPr>
            <w:tcW w:type="dxa" w:w="2381"/>
            <w:vAlign w:val="center"/>
            <w:shd w:fill="EEF3FA"/>
          </w:tcPr>
          <w:p>
            <w:pPr>
              <w:spacing w:after="0" w:line="247" w:lineRule="auto"/>
            </w:pPr>
            <w:r/>
            <w:r>
              <w:rPr>
                <w:b w:val="0"/>
                <w:sz w:val="17"/>
              </w:rPr>
              <w:t>Tests 3, 7, and 8 implementation settings</w:t>
            </w:r>
          </w:p>
        </w:tc>
        <w:tc>
          <w:tcPr>
            <w:tcW w:type="dxa" w:w="4025"/>
            <w:vAlign w:val="center"/>
            <w:shd w:fill="FAFBFD"/>
          </w:tcPr>
          <w:p>
            <w:pPr>
              <w:spacing w:after="0" w:line="247" w:lineRule="auto"/>
            </w:pPr>
            <w:r/>
            <w:r>
              <w:rPr>
                <w:b w:val="0"/>
                <w:sz w:val="17"/>
              </w:rPr>
              <w:t>The previous document did not include concentration, incumbent-band, or trade-constraint SPY ranges.</w:t>
            </w:r>
          </w:p>
        </w:tc>
        <w:tc>
          <w:tcPr>
            <w:tcW w:type="dxa" w:w="4535"/>
            <w:vAlign w:val="center"/>
            <w:shd w:fill="FAFBFD"/>
          </w:tcPr>
          <w:p>
            <w:pPr>
              <w:spacing w:after="0" w:line="247" w:lineRule="auto"/>
            </w:pPr>
            <w:r/>
            <w:r>
              <w:rPr>
                <w:b w:val="0"/>
                <w:sz w:val="17"/>
              </w:rPr>
              <w:t>Concentration SPY excess range -0.34% to -0.01%; incumbent-band SPY excess range -0.38% to 0.10%; trade-constraint SPY excess range -0.25% to -0.16%.</w:t>
            </w:r>
          </w:p>
        </w:tc>
        <w:tc>
          <w:tcPr>
            <w:tcW w:type="dxa" w:w="4082"/>
            <w:vAlign w:val="center"/>
            <w:shd w:fill="FAFBFD"/>
          </w:tcPr>
          <w:p>
            <w:pPr>
              <w:spacing w:after="0" w:line="247" w:lineRule="auto"/>
            </w:pPr>
            <w:r/>
            <w:r>
              <w:rPr>
                <w:b w:val="0"/>
                <w:sz w:val="17"/>
              </w:rPr>
              <w:t>Final wording difference: These tests support implementation stability under the SPY baseline, not broad primary-benchmark outperformance.</w:t>
            </w:r>
          </w:p>
        </w:tc>
      </w:tr>
      <w:tr>
        <w:tc>
          <w:tcPr>
            <w:tcW w:type="dxa" w:w="2381"/>
            <w:vAlign w:val="center"/>
            <w:shd w:fill="EEF3FA"/>
          </w:tcPr>
          <w:p>
            <w:pPr>
              <w:spacing w:after="0" w:line="247" w:lineRule="auto"/>
            </w:pPr>
            <w:r/>
            <w:r>
              <w:rPr>
                <w:b w:val="0"/>
                <w:sz w:val="17"/>
              </w:rPr>
              <w:t>Test 4 factor-weight sensitivity</w:t>
            </w:r>
          </w:p>
        </w:tc>
        <w:tc>
          <w:tcPr>
            <w:tcW w:type="dxa" w:w="4025"/>
            <w:vAlign w:val="center"/>
          </w:tcPr>
          <w:p>
            <w:pPr>
              <w:spacing w:after="0" w:line="247" w:lineRule="auto"/>
            </w:pPr>
            <w:r/>
            <w:r>
              <w:rPr>
                <w:b w:val="0"/>
                <w:sz w:val="17"/>
              </w:rPr>
              <w:t>The previous document did not include factor-weight SPY sensitivity.</w:t>
            </w:r>
          </w:p>
        </w:tc>
        <w:tc>
          <w:tcPr>
            <w:tcW w:type="dxa" w:w="4535"/>
            <w:vAlign w:val="center"/>
          </w:tcPr>
          <w:p>
            <w:pPr>
              <w:spacing w:after="0" w:line="247" w:lineRule="auto"/>
            </w:pPr>
            <w:r/>
            <w:r>
              <w:rPr>
                <w:b w:val="0"/>
                <w:sz w:val="17"/>
              </w:rPr>
              <w:t>Formal SPY excess range across the five key factor-weight scenarios: -1.05% to 1.85%. Value-up is +1.85% versus SPY; quality-up is -1.05% versus SPY.</w:t>
            </w:r>
          </w:p>
        </w:tc>
        <w:tc>
          <w:tcPr>
            <w:tcW w:type="dxa" w:w="4082"/>
            <w:vAlign w:val="center"/>
          </w:tcPr>
          <w:p>
            <w:pPr>
              <w:spacing w:after="0" w:line="247" w:lineRule="auto"/>
            </w:pPr>
            <w:r/>
            <w:r>
              <w:rPr>
                <w:b w:val="0"/>
                <w:sz w:val="17"/>
              </w:rPr>
              <w:t>Final wording difference: The factor result is uneven under the primary SPY baseline. Value-up helps, while several other perturbations only look strong versus internal benchmarks.</w:t>
            </w:r>
          </w:p>
        </w:tc>
      </w:tr>
      <w:tr>
        <w:tc>
          <w:tcPr>
            <w:tcW w:type="dxa" w:w="2381"/>
            <w:vAlign w:val="center"/>
            <w:shd w:fill="EEF3FA"/>
          </w:tcPr>
          <w:p>
            <w:pPr>
              <w:spacing w:after="0" w:line="247" w:lineRule="auto"/>
            </w:pPr>
            <w:r/>
            <w:r>
              <w:rPr>
                <w:b w:val="0"/>
                <w:sz w:val="17"/>
              </w:rPr>
              <w:t>Tests 5 and 6 regime threshold / drawdown brake</w:t>
            </w:r>
          </w:p>
        </w:tc>
        <w:tc>
          <w:tcPr>
            <w:tcW w:type="dxa" w:w="4025"/>
            <w:vAlign w:val="center"/>
            <w:shd w:fill="FAFBFD"/>
          </w:tcPr>
          <w:p>
            <w:pPr>
              <w:spacing w:after="0" w:line="247" w:lineRule="auto"/>
            </w:pPr>
            <w:r/>
            <w:r>
              <w:rPr>
                <w:b w:val="0"/>
                <w:sz w:val="17"/>
              </w:rPr>
              <w:t>The previous document did not include threshold and brake SPY ranges.</w:t>
            </w:r>
          </w:p>
        </w:tc>
        <w:tc>
          <w:tcPr>
            <w:tcW w:type="dxa" w:w="4535"/>
            <w:vAlign w:val="center"/>
            <w:shd w:fill="FAFBFD"/>
          </w:tcPr>
          <w:p>
            <w:pPr>
              <w:spacing w:after="0" w:line="247" w:lineRule="auto"/>
            </w:pPr>
            <w:r/>
            <w:r>
              <w:rPr>
                <w:b w:val="0"/>
                <w:sz w:val="17"/>
              </w:rPr>
              <w:t>Threshold SPY excess range -2.10% to -0.25%. Drawdown-brake SPY excess range -4.08% to 0.84%. Brake-off is +0.84% versus SPY, while aggressive braking is -4.08% versus SPY.</w:t>
            </w:r>
          </w:p>
        </w:tc>
        <w:tc>
          <w:tcPr>
            <w:tcW w:type="dxa" w:w="4082"/>
            <w:vAlign w:val="center"/>
            <w:shd w:fill="FAFBFD"/>
          </w:tcPr>
          <w:p>
            <w:pPr>
              <w:spacing w:after="0" w:line="247" w:lineRule="auto"/>
            </w:pPr>
            <w:r/>
            <w:r>
              <w:rPr>
                <w:b w:val="0"/>
                <w:sz w:val="17"/>
              </w:rPr>
              <w:t>Final wording difference: Regime and brake settings are treated as risk controls under the primary SPY baseline. They are not presented as alpha enhancers.</w:t>
            </w:r>
          </w:p>
        </w:tc>
      </w:tr>
    </w:tbl>
    <w:p/>
    <w:p>
      <w:pPr>
        <w:pStyle w:val="Heading2"/>
      </w:pPr>
      <w:r>
        <w:t>Part 2 - Ablation</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81"/>
            <w:shd w:fill="1F3A5F"/>
          </w:tcPr>
          <w:p>
            <w:pPr>
              <w:spacing w:after="0" w:line="247" w:lineRule="auto"/>
            </w:pPr>
            <w:r/>
            <w:r>
              <w:rPr>
                <w:b/>
                <w:color w:val="FFFFFF"/>
                <w:sz w:val="18"/>
              </w:rPr>
              <w:t>Primary-baseline item</w:t>
            </w:r>
          </w:p>
        </w:tc>
        <w:tc>
          <w:tcPr>
            <w:tcW w:type="dxa" w:w="4025"/>
            <w:shd w:fill="1F3A5F"/>
          </w:tcPr>
          <w:p>
            <w:pPr>
              <w:spacing w:after="0" w:line="247" w:lineRule="auto"/>
            </w:pPr>
            <w:r/>
            <w:r>
              <w:rPr>
                <w:b/>
                <w:color w:val="FFFFFF"/>
                <w:sz w:val="18"/>
              </w:rPr>
              <w:t>Previous document treatment</w:t>
            </w:r>
          </w:p>
        </w:tc>
        <w:tc>
          <w:tcPr>
            <w:tcW w:type="dxa" w:w="4535"/>
            <w:shd w:fill="1F3A5F"/>
          </w:tcPr>
          <w:p>
            <w:pPr>
              <w:spacing w:after="0" w:line="247" w:lineRule="auto"/>
            </w:pPr>
            <w:r/>
            <w:r>
              <w:rPr>
                <w:b/>
                <w:color w:val="FFFFFF"/>
                <w:sz w:val="18"/>
              </w:rPr>
              <w:t>Formal SPY primary-baseline evidence</w:t>
            </w:r>
          </w:p>
        </w:tc>
        <w:tc>
          <w:tcPr>
            <w:tcW w:type="dxa" w:w="4082"/>
            <w:shd w:fill="1F3A5F"/>
          </w:tcPr>
          <w:p>
            <w:pPr>
              <w:spacing w:after="0" w:line="247" w:lineRule="auto"/>
            </w:pPr>
            <w:r/>
            <w:r>
              <w:rPr>
                <w:b/>
                <w:color w:val="FFFFFF"/>
                <w:sz w:val="18"/>
              </w:rPr>
              <w:t>Difference in final report wording</w:t>
            </w:r>
          </w:p>
        </w:tc>
      </w:tr>
      <w:tr>
        <w:tc>
          <w:tcPr>
            <w:tcW w:type="dxa" w:w="2381"/>
            <w:vAlign w:val="center"/>
            <w:shd w:fill="EEF3FA"/>
          </w:tcPr>
          <w:p>
            <w:pPr>
              <w:spacing w:after="0" w:line="247" w:lineRule="auto"/>
            </w:pPr>
            <w:r/>
            <w:r>
              <w:rPr>
                <w:b w:val="0"/>
                <w:sz w:val="17"/>
              </w:rPr>
              <w:t>Block B ablation versus SPY</w:t>
            </w:r>
          </w:p>
        </w:tc>
        <w:tc>
          <w:tcPr>
            <w:tcW w:type="dxa" w:w="4025"/>
            <w:vAlign w:val="center"/>
          </w:tcPr>
          <w:p>
            <w:pPr>
              <w:spacing w:after="0" w:line="247" w:lineRule="auto"/>
            </w:pPr>
            <w:r/>
            <w:r>
              <w:rPr>
                <w:b w:val="0"/>
                <w:sz w:val="17"/>
              </w:rPr>
              <w:t>The previous transaction/regime document did not include ablation corrections.</w:t>
            </w:r>
          </w:p>
        </w:tc>
        <w:tc>
          <w:tcPr>
            <w:tcW w:type="dxa" w:w="4535"/>
            <w:vAlign w:val="center"/>
          </w:tcPr>
          <w:p>
            <w:pPr>
              <w:spacing w:after="0" w:line="247" w:lineRule="auto"/>
            </w:pPr>
            <w:r/>
            <w:r>
              <w:rPr>
                <w:b w:val="0"/>
                <w:sz w:val="17"/>
              </w:rPr>
              <w:t>No-regime-switch: -2.10% vs SPY; no-sector-constraint: -0.25% vs SPY; no-risk-overlay: +5.39% vs SPY with 20.20% max drawdown.</w:t>
            </w:r>
          </w:p>
        </w:tc>
        <w:tc>
          <w:tcPr>
            <w:tcW w:type="dxa" w:w="4082"/>
            <w:vAlign w:val="center"/>
          </w:tcPr>
          <w:p>
            <w:pPr>
              <w:spacing w:after="0" w:line="247" w:lineRule="auto"/>
            </w:pPr>
            <w:r/>
            <w:r>
              <w:rPr>
                <w:b w:val="0"/>
                <w:sz w:val="17"/>
              </w:rPr>
              <w:t>Final wording difference: Regime switching and sector controls matter for primary-baseline competitiveness. Removing the risk overlay raises SPY-relative return but raises drawdown.</w:t>
            </w:r>
          </w:p>
        </w:tc>
      </w:tr>
      <w:tr>
        <w:tc>
          <w:tcPr>
            <w:tcW w:type="dxa" w:w="2381"/>
            <w:vAlign w:val="center"/>
            <w:shd w:fill="EEF3FA"/>
          </w:tcPr>
          <w:p>
            <w:pPr>
              <w:spacing w:after="0" w:line="247" w:lineRule="auto"/>
            </w:pPr>
            <w:r/>
            <w:r>
              <w:rPr>
                <w:b w:val="0"/>
                <w:sz w:val="17"/>
              </w:rPr>
              <w:t>Inactive operational toggles</w:t>
            </w:r>
          </w:p>
        </w:tc>
        <w:tc>
          <w:tcPr>
            <w:tcW w:type="dxa" w:w="4025"/>
            <w:vAlign w:val="center"/>
            <w:shd w:fill="FAFBFD"/>
          </w:tcPr>
          <w:p>
            <w:pPr>
              <w:spacing w:after="0" w:line="247" w:lineRule="auto"/>
            </w:pPr>
            <w:r/>
            <w:r>
              <w:rPr>
                <w:b w:val="0"/>
                <w:sz w:val="17"/>
              </w:rPr>
              <w:t>The previous document did not separate inactive toggles from active ablations.</w:t>
            </w:r>
          </w:p>
        </w:tc>
        <w:tc>
          <w:tcPr>
            <w:tcW w:type="dxa" w:w="4535"/>
            <w:vAlign w:val="center"/>
            <w:shd w:fill="FAFBFD"/>
          </w:tcPr>
          <w:p>
            <w:pPr>
              <w:spacing w:after="0" w:line="247" w:lineRule="auto"/>
            </w:pPr>
            <w:r/>
            <w:r>
              <w:rPr>
                <w:b w:val="0"/>
                <w:sz w:val="17"/>
              </w:rPr>
              <w:t>No-drawdown-brake, no-intraday, and no-liquidity rows match the formal baseline in this dataset, so their SPY reading remains +0.84% annualized excess.</w:t>
            </w:r>
          </w:p>
        </w:tc>
        <w:tc>
          <w:tcPr>
            <w:tcW w:type="dxa" w:w="4082"/>
            <w:vAlign w:val="center"/>
            <w:shd w:fill="FAFBFD"/>
          </w:tcPr>
          <w:p>
            <w:pPr>
              <w:spacing w:after="0" w:line="247" w:lineRule="auto"/>
            </w:pPr>
            <w:r/>
            <w:r>
              <w:rPr>
                <w:b w:val="0"/>
                <w:sz w:val="17"/>
              </w:rPr>
              <w:t>Final wording difference: These toggles are not separate primary-baseline return drivers in the final text.</w:t>
            </w:r>
          </w:p>
        </w:tc>
      </w:tr>
    </w:tbl>
    <w:p/>
    <w:p>
      <w:r>
        <w:br w:type="page"/>
      </w:r>
    </w:p>
    <w:p>
      <w:pPr>
        <w:pStyle w:val="Heading2"/>
      </w:pPr>
      <w:r>
        <w:t>Part 3 - Regime and Subperiod Evidence</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81"/>
            <w:shd w:fill="1F3A5F"/>
          </w:tcPr>
          <w:p>
            <w:pPr>
              <w:spacing w:after="0" w:line="247" w:lineRule="auto"/>
            </w:pPr>
            <w:r/>
            <w:r>
              <w:rPr>
                <w:b/>
                <w:color w:val="FFFFFF"/>
                <w:sz w:val="18"/>
              </w:rPr>
              <w:t>Primary-baseline item</w:t>
            </w:r>
          </w:p>
        </w:tc>
        <w:tc>
          <w:tcPr>
            <w:tcW w:type="dxa" w:w="4025"/>
            <w:shd w:fill="1F3A5F"/>
          </w:tcPr>
          <w:p>
            <w:pPr>
              <w:spacing w:after="0" w:line="247" w:lineRule="auto"/>
            </w:pPr>
            <w:r/>
            <w:r>
              <w:rPr>
                <w:b/>
                <w:color w:val="FFFFFF"/>
                <w:sz w:val="18"/>
              </w:rPr>
              <w:t>Previous document treatment</w:t>
            </w:r>
          </w:p>
        </w:tc>
        <w:tc>
          <w:tcPr>
            <w:tcW w:type="dxa" w:w="4535"/>
            <w:shd w:fill="1F3A5F"/>
          </w:tcPr>
          <w:p>
            <w:pPr>
              <w:spacing w:after="0" w:line="247" w:lineRule="auto"/>
            </w:pPr>
            <w:r/>
            <w:r>
              <w:rPr>
                <w:b/>
                <w:color w:val="FFFFFF"/>
                <w:sz w:val="18"/>
              </w:rPr>
              <w:t>Formal SPY primary-baseline evidence</w:t>
            </w:r>
          </w:p>
        </w:tc>
        <w:tc>
          <w:tcPr>
            <w:tcW w:type="dxa" w:w="4082"/>
            <w:shd w:fill="1F3A5F"/>
          </w:tcPr>
          <w:p>
            <w:pPr>
              <w:spacing w:after="0" w:line="247" w:lineRule="auto"/>
            </w:pPr>
            <w:r/>
            <w:r>
              <w:rPr>
                <w:b/>
                <w:color w:val="FFFFFF"/>
                <w:sz w:val="18"/>
              </w:rPr>
              <w:t>Difference in final report wording</w:t>
            </w:r>
          </w:p>
        </w:tc>
      </w:tr>
      <w:tr>
        <w:tc>
          <w:tcPr>
            <w:tcW w:type="dxa" w:w="2381"/>
            <w:vAlign w:val="center"/>
            <w:shd w:fill="EEF3FA"/>
          </w:tcPr>
          <w:p>
            <w:pPr>
              <w:spacing w:after="0" w:line="247" w:lineRule="auto"/>
            </w:pPr>
            <w:r/>
            <w:r>
              <w:rPr>
                <w:b w:val="0"/>
                <w:sz w:val="17"/>
              </w:rPr>
              <w:t>Normal and stress regimes versus SPY</w:t>
            </w:r>
          </w:p>
        </w:tc>
        <w:tc>
          <w:tcPr>
            <w:tcW w:type="dxa" w:w="4025"/>
            <w:vAlign w:val="center"/>
          </w:tcPr>
          <w:p>
            <w:pPr>
              <w:spacing w:after="0" w:line="247" w:lineRule="auto"/>
            </w:pPr>
            <w:r/>
            <w:r>
              <w:rPr>
                <w:b w:val="0"/>
                <w:sz w:val="17"/>
              </w:rPr>
              <w:t>The previous document already corrected the normal/stress section, but it did not place it inside the Part 3 evidence map.</w:t>
            </w:r>
          </w:p>
        </w:tc>
        <w:tc>
          <w:tcPr>
            <w:tcW w:type="dxa" w:w="4535"/>
            <w:vAlign w:val="center"/>
          </w:tcPr>
          <w:p>
            <w:pPr>
              <w:spacing w:after="0" w:line="247" w:lineRule="auto"/>
            </w:pPr>
            <w:r/>
            <w:r>
              <w:rPr>
                <w:b w:val="0"/>
                <w:sz w:val="17"/>
              </w:rPr>
              <w:t>Normal-period excess is 2.92% versus SPY. Stress-period excess is -2.49% versus SPY and -1.03% versus static baseline.</w:t>
            </w:r>
          </w:p>
        </w:tc>
        <w:tc>
          <w:tcPr>
            <w:tcW w:type="dxa" w:w="4082"/>
            <w:vAlign w:val="center"/>
          </w:tcPr>
          <w:p>
            <w:pPr>
              <w:spacing w:after="0" w:line="247" w:lineRule="auto"/>
            </w:pPr>
            <w:r/>
            <w:r>
              <w:rPr>
                <w:b w:val="0"/>
                <w:sz w:val="17"/>
              </w:rPr>
              <w:t>Final wording difference: Normal-regime performance stays strong versus the primary baseline; stress evidence is mixed rather than uniformly strong.</w:t>
            </w:r>
          </w:p>
        </w:tc>
      </w:tr>
      <w:tr>
        <w:tc>
          <w:tcPr>
            <w:tcW w:type="dxa" w:w="2381"/>
            <w:vAlign w:val="center"/>
            <w:shd w:fill="EEF3FA"/>
          </w:tcPr>
          <w:p>
            <w:pPr>
              <w:spacing w:after="0" w:line="247" w:lineRule="auto"/>
            </w:pPr>
            <w:r/>
            <w:r>
              <w:rPr>
                <w:b w:val="0"/>
                <w:sz w:val="17"/>
              </w:rPr>
              <w:t>Fixed subperiods versus SPY</w:t>
            </w:r>
          </w:p>
        </w:tc>
        <w:tc>
          <w:tcPr>
            <w:tcW w:type="dxa" w:w="4025"/>
            <w:vAlign w:val="center"/>
            <w:shd w:fill="FAFBFD"/>
          </w:tcPr>
          <w:p>
            <w:pPr>
              <w:spacing w:after="0" w:line="247" w:lineRule="auto"/>
            </w:pPr>
            <w:r/>
            <w:r>
              <w:rPr>
                <w:b w:val="0"/>
                <w:sz w:val="17"/>
              </w:rPr>
              <w:t>The previous document did not include the fixed-subperiod SPY map.</w:t>
            </w:r>
          </w:p>
        </w:tc>
        <w:tc>
          <w:tcPr>
            <w:tcW w:type="dxa" w:w="4535"/>
            <w:vAlign w:val="center"/>
            <w:shd w:fill="FAFBFD"/>
          </w:tcPr>
          <w:p>
            <w:pPr>
              <w:spacing w:after="0" w:line="247" w:lineRule="auto"/>
            </w:pPr>
            <w:r/>
            <w:r>
              <w:rPr>
                <w:b w:val="0"/>
                <w:sz w:val="17"/>
              </w:rPr>
              <w:t>Formal SPY excess by window: 2021 Reopening: 0.08%; 2022 Bear: 9.70%; 2023 Recovery: -9.04%; 2024 Bull: 2.82%; 2025-2026 Recent: -0.18%.</w:t>
            </w:r>
          </w:p>
        </w:tc>
        <w:tc>
          <w:tcPr>
            <w:tcW w:type="dxa" w:w="4082"/>
            <w:vAlign w:val="center"/>
            <w:shd w:fill="FAFBFD"/>
          </w:tcPr>
          <w:p>
            <w:pPr>
              <w:spacing w:after="0" w:line="247" w:lineRule="auto"/>
            </w:pPr>
            <w:r/>
            <w:r>
              <w:rPr>
                <w:b w:val="0"/>
                <w:sz w:val="17"/>
              </w:rPr>
              <w:t>Final wording difference: Primary-baseline subperiod evidence is mixed. The strongest relative protection is in 2022, while 2023 lags SPY.</w:t>
            </w:r>
          </w:p>
        </w:tc>
      </w:tr>
    </w:tbl>
    <w:p/>
    <w:p>
      <w:pPr>
        <w:pStyle w:val="Heading2"/>
      </w:pPr>
      <w:r>
        <w:t>Part 4 - Stochastic Evidence</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81"/>
            <w:shd w:fill="1F3A5F"/>
          </w:tcPr>
          <w:p>
            <w:pPr>
              <w:spacing w:after="0" w:line="247" w:lineRule="auto"/>
            </w:pPr>
            <w:r/>
            <w:r>
              <w:rPr>
                <w:b/>
                <w:color w:val="FFFFFF"/>
                <w:sz w:val="18"/>
              </w:rPr>
              <w:t>Primary-baseline item</w:t>
            </w:r>
          </w:p>
        </w:tc>
        <w:tc>
          <w:tcPr>
            <w:tcW w:type="dxa" w:w="4025"/>
            <w:shd w:fill="1F3A5F"/>
          </w:tcPr>
          <w:p>
            <w:pPr>
              <w:spacing w:after="0" w:line="247" w:lineRule="auto"/>
            </w:pPr>
            <w:r/>
            <w:r>
              <w:rPr>
                <w:b/>
                <w:color w:val="FFFFFF"/>
                <w:sz w:val="18"/>
              </w:rPr>
              <w:t>Previous document treatment</w:t>
            </w:r>
          </w:p>
        </w:tc>
        <w:tc>
          <w:tcPr>
            <w:tcW w:type="dxa" w:w="4535"/>
            <w:shd w:fill="1F3A5F"/>
          </w:tcPr>
          <w:p>
            <w:pPr>
              <w:spacing w:after="0" w:line="247" w:lineRule="auto"/>
            </w:pPr>
            <w:r/>
            <w:r>
              <w:rPr>
                <w:b/>
                <w:color w:val="FFFFFF"/>
                <w:sz w:val="18"/>
              </w:rPr>
              <w:t>Formal SPY primary-baseline evidence</w:t>
            </w:r>
          </w:p>
        </w:tc>
        <w:tc>
          <w:tcPr>
            <w:tcW w:type="dxa" w:w="4082"/>
            <w:shd w:fill="1F3A5F"/>
          </w:tcPr>
          <w:p>
            <w:pPr>
              <w:spacing w:after="0" w:line="247" w:lineRule="auto"/>
            </w:pPr>
            <w:r/>
            <w:r>
              <w:rPr>
                <w:b/>
                <w:color w:val="FFFFFF"/>
                <w:sz w:val="18"/>
              </w:rPr>
              <w:t>Difference in final report wording</w:t>
            </w:r>
          </w:p>
        </w:tc>
      </w:tr>
      <w:tr>
        <w:tc>
          <w:tcPr>
            <w:tcW w:type="dxa" w:w="2381"/>
            <w:vAlign w:val="center"/>
            <w:shd w:fill="EEF3FA"/>
          </w:tcPr>
          <w:p>
            <w:pPr>
              <w:spacing w:after="0" w:line="247" w:lineRule="auto"/>
            </w:pPr>
            <w:r/>
            <w:r>
              <w:rPr>
                <w:b w:val="0"/>
                <w:sz w:val="17"/>
              </w:rPr>
              <w:t>Test 12 rolling out-of-sample benchmark comparison</w:t>
            </w:r>
          </w:p>
        </w:tc>
        <w:tc>
          <w:tcPr>
            <w:tcW w:type="dxa" w:w="4025"/>
            <w:vAlign w:val="center"/>
          </w:tcPr>
          <w:p>
            <w:pPr>
              <w:spacing w:after="0" w:line="247" w:lineRule="auto"/>
            </w:pPr>
            <w:r/>
            <w:r>
              <w:rPr>
                <w:b w:val="0"/>
                <w:sz w:val="17"/>
              </w:rPr>
              <w:t>The previous document did not include stochastic or rolling-OOS corrections.</w:t>
            </w:r>
          </w:p>
        </w:tc>
        <w:tc>
          <w:tcPr>
            <w:tcW w:type="dxa" w:w="4535"/>
            <w:vAlign w:val="center"/>
          </w:tcPr>
          <w:p>
            <w:pPr>
              <w:spacing w:after="0" w:line="247" w:lineRule="auto"/>
            </w:pPr>
            <w:r/>
            <w:r>
              <w:rPr>
                <w:b w:val="0"/>
                <w:sz w:val="17"/>
              </w:rPr>
              <w:t>OOS annualized return 16.62%; OOS benchmark annualized return 16.69%; OOS excess -0.06%; OOS hit rate 48.48%; OOS Sharpe 1.100.</w:t>
            </w:r>
          </w:p>
        </w:tc>
        <w:tc>
          <w:tcPr>
            <w:tcW w:type="dxa" w:w="4082"/>
            <w:vAlign w:val="center"/>
          </w:tcPr>
          <w:p>
            <w:pPr>
              <w:spacing w:after="0" w:line="247" w:lineRule="auto"/>
            </w:pPr>
            <w:r/>
            <w:r>
              <w:rPr>
                <w:b w:val="0"/>
                <w:sz w:val="17"/>
              </w:rPr>
              <w:t>Final wording difference: OOS evidence supports absolute resilience, while primary-baseline excess is close to flat.</w:t>
            </w:r>
          </w:p>
        </w:tc>
      </w:tr>
      <w:tr>
        <w:tc>
          <w:tcPr>
            <w:tcW w:type="dxa" w:w="2381"/>
            <w:vAlign w:val="center"/>
            <w:shd w:fill="EEF3FA"/>
          </w:tcPr>
          <w:p>
            <w:pPr>
              <w:spacing w:after="0" w:line="247" w:lineRule="auto"/>
            </w:pPr>
            <w:r/>
            <w:r>
              <w:rPr>
                <w:b w:val="0"/>
                <w:sz w:val="17"/>
              </w:rPr>
              <w:t>Tests 9, 10, 11, and 13 stochastic distribution checks</w:t>
            </w:r>
          </w:p>
        </w:tc>
        <w:tc>
          <w:tcPr>
            <w:tcW w:type="dxa" w:w="4025"/>
            <w:vAlign w:val="center"/>
            <w:shd w:fill="FAFBFD"/>
          </w:tcPr>
          <w:p>
            <w:pPr>
              <w:spacing w:after="0" w:line="247" w:lineRule="auto"/>
            </w:pPr>
            <w:r/>
            <w:r>
              <w:rPr>
                <w:b w:val="0"/>
                <w:sz w:val="17"/>
              </w:rPr>
              <w:t>The previous document did not include distributional robustness corrections.</w:t>
            </w:r>
          </w:p>
        </w:tc>
        <w:tc>
          <w:tcPr>
            <w:tcW w:type="dxa" w:w="4535"/>
            <w:vAlign w:val="center"/>
            <w:shd w:fill="FAFBFD"/>
          </w:tcPr>
          <w:p>
            <w:pPr>
              <w:spacing w:after="0" w:line="247" w:lineRule="auto"/>
            </w:pPr>
            <w:r/>
            <w:r>
              <w:rPr>
                <w:b w:val="0"/>
                <w:sz w:val="17"/>
              </w:rPr>
              <w:t>Test 9 P50 annualized return 12.51%; Test 10 flat +25 bps P50 annualized return 11.45%; Test 11 P50 annualized return range 10.54% to 11.58%; Test 13 P50 annualized return 12.37%.</w:t>
            </w:r>
          </w:p>
        </w:tc>
        <w:tc>
          <w:tcPr>
            <w:tcW w:type="dxa" w:w="4082"/>
            <w:vAlign w:val="center"/>
            <w:shd w:fill="FAFBFD"/>
          </w:tcPr>
          <w:p>
            <w:pPr>
              <w:spacing w:after="0" w:line="247" w:lineRule="auto"/>
            </w:pPr>
            <w:r/>
            <w:r>
              <w:rPr>
                <w:b w:val="0"/>
                <w:sz w:val="17"/>
              </w:rPr>
              <w:t>Final wording difference: These tests support distributional robustness and cost resilience; they do not replace the deterministic primary-baseline comparisons in Parts 1 and 3.</w:t>
            </w:r>
          </w:p>
        </w:tc>
      </w:tr>
    </w:tbl>
    <w:p/>
    <w:p>
      <w:pPr>
        <w:pStyle w:val="Heading2"/>
      </w:pPr>
      <w:r>
        <w:t>Part 5 - Scorecard Reading</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81"/>
            <w:shd w:fill="1F3A5F"/>
          </w:tcPr>
          <w:p>
            <w:pPr>
              <w:spacing w:after="0" w:line="247" w:lineRule="auto"/>
            </w:pPr>
            <w:r/>
            <w:r>
              <w:rPr>
                <w:b/>
                <w:color w:val="FFFFFF"/>
                <w:sz w:val="18"/>
              </w:rPr>
              <w:t>Primary-baseline item</w:t>
            </w:r>
          </w:p>
        </w:tc>
        <w:tc>
          <w:tcPr>
            <w:tcW w:type="dxa" w:w="4025"/>
            <w:shd w:fill="1F3A5F"/>
          </w:tcPr>
          <w:p>
            <w:pPr>
              <w:spacing w:after="0" w:line="247" w:lineRule="auto"/>
            </w:pPr>
            <w:r/>
            <w:r>
              <w:rPr>
                <w:b/>
                <w:color w:val="FFFFFF"/>
                <w:sz w:val="18"/>
              </w:rPr>
              <w:t>Previous document treatment</w:t>
            </w:r>
          </w:p>
        </w:tc>
        <w:tc>
          <w:tcPr>
            <w:tcW w:type="dxa" w:w="4535"/>
            <w:shd w:fill="1F3A5F"/>
          </w:tcPr>
          <w:p>
            <w:pPr>
              <w:spacing w:after="0" w:line="247" w:lineRule="auto"/>
            </w:pPr>
            <w:r/>
            <w:r>
              <w:rPr>
                <w:b/>
                <w:color w:val="FFFFFF"/>
                <w:sz w:val="18"/>
              </w:rPr>
              <w:t>Formal SPY primary-baseline evidence</w:t>
            </w:r>
          </w:p>
        </w:tc>
        <w:tc>
          <w:tcPr>
            <w:tcW w:type="dxa" w:w="4082"/>
            <w:shd w:fill="1F3A5F"/>
          </w:tcPr>
          <w:p>
            <w:pPr>
              <w:spacing w:after="0" w:line="247" w:lineRule="auto"/>
            </w:pPr>
            <w:r/>
            <w:r>
              <w:rPr>
                <w:b/>
                <w:color w:val="FFFFFF"/>
                <w:sz w:val="18"/>
              </w:rPr>
              <w:t>Difference in final report wording</w:t>
            </w:r>
          </w:p>
        </w:tc>
      </w:tr>
      <w:tr>
        <w:tc>
          <w:tcPr>
            <w:tcW w:type="dxa" w:w="2381"/>
            <w:vAlign w:val="center"/>
            <w:shd w:fill="EEF3FA"/>
          </w:tcPr>
          <w:p>
            <w:pPr>
              <w:spacing w:after="0" w:line="247" w:lineRule="auto"/>
            </w:pPr>
            <w:r/>
            <w:r>
              <w:rPr>
                <w:b w:val="0"/>
                <w:sz w:val="17"/>
              </w:rPr>
              <w:t>Final scorecard summary</w:t>
            </w:r>
          </w:p>
        </w:tc>
        <w:tc>
          <w:tcPr>
            <w:tcW w:type="dxa" w:w="4025"/>
            <w:vAlign w:val="center"/>
          </w:tcPr>
          <w:p>
            <w:pPr>
              <w:spacing w:after="0" w:line="247" w:lineRule="auto"/>
            </w:pPr>
            <w:r/>
            <w:r>
              <w:rPr>
                <w:b w:val="0"/>
                <w:sz w:val="17"/>
              </w:rPr>
              <w:t>The final revision table had two Part 5 rows: final scorecard and acceptance criteria details. The previous transaction/regime document compressed them into one row.</w:t>
            </w:r>
          </w:p>
        </w:tc>
        <w:tc>
          <w:tcPr>
            <w:tcW w:type="dxa" w:w="4535"/>
            <w:vAlign w:val="center"/>
          </w:tcPr>
          <w:p>
            <w:pPr>
              <w:spacing w:after="0" w:line="247" w:lineRule="auto"/>
            </w:pPr>
            <w:r/>
            <w:r>
              <w:rPr>
                <w:b w:val="0"/>
                <w:sz w:val="17"/>
              </w:rPr>
              <w:t>Formal result: 3 of 5 criteria pass. Pass: Criterion 1 positive long-run excess, Criterion 3 risk-adjusted metrics, Criterion 4 cost survival. Fail: Criterion 2 stress drawdown versus static baseline and Criterion 5 stress-period excess versus static baseline.</w:t>
            </w:r>
          </w:p>
        </w:tc>
        <w:tc>
          <w:tcPr>
            <w:tcW w:type="dxa" w:w="4082"/>
            <w:vAlign w:val="center"/>
          </w:tcPr>
          <w:p>
            <w:pPr>
              <w:spacing w:after="0" w:line="247" w:lineRule="auto"/>
            </w:pPr>
            <w:r/>
            <w:r>
              <w:rPr>
                <w:b w:val="0"/>
                <w:sz w:val="17"/>
              </w:rPr>
              <w:t>Final wording difference: The scorecard remains 3/5. Because SPY is the primary baseline, Criterion 1 and the SPY parts of Criteria 3 and 4 are headline evidence rather than side notes.</w:t>
            </w:r>
          </w:p>
        </w:tc>
      </w:tr>
      <w:tr>
        <w:tc>
          <w:tcPr>
            <w:tcW w:type="dxa" w:w="2381"/>
            <w:vAlign w:val="center"/>
            <w:shd w:fill="EEF3FA"/>
          </w:tcPr>
          <w:p>
            <w:pPr>
              <w:spacing w:after="0" w:line="247" w:lineRule="auto"/>
            </w:pPr>
            <w:r/>
            <w:r>
              <w:rPr>
                <w:b w:val="0"/>
                <w:sz w:val="17"/>
              </w:rPr>
              <w:t>Criterion 1: positive long-run excess vs primary baseline</w:t>
            </w:r>
          </w:p>
        </w:tc>
        <w:tc>
          <w:tcPr>
            <w:tcW w:type="dxa" w:w="4025"/>
            <w:vAlign w:val="center"/>
            <w:shd w:fill="FAFBFD"/>
          </w:tcPr>
          <w:p>
            <w:pPr>
              <w:spacing w:after="0" w:line="247" w:lineRule="auto"/>
            </w:pPr>
            <w:r/>
            <w:r>
              <w:rPr>
                <w:b w:val="0"/>
                <w:sz w:val="17"/>
              </w:rPr>
              <w:t>The final revision table listed Criterion 1 as Pass but did not spell out the primary-baseline SPY number inside the Part 5 row.</w:t>
            </w:r>
          </w:p>
        </w:tc>
        <w:tc>
          <w:tcPr>
            <w:tcW w:type="dxa" w:w="4535"/>
            <w:vAlign w:val="center"/>
            <w:shd w:fill="FAFBFD"/>
          </w:tcPr>
          <w:p>
            <w:pPr>
              <w:spacing w:after="0" w:line="247" w:lineRule="auto"/>
            </w:pPr>
            <w:r/>
            <w:r>
              <w:rPr>
                <w:b w:val="0"/>
                <w:sz w:val="17"/>
              </w:rPr>
              <w:t>Direct SPY effect: +0.84% annualized excess versus SPY, +3.79% total excess, IR 0.126, hit rate 50.85%.</w:t>
            </w:r>
          </w:p>
        </w:tc>
        <w:tc>
          <w:tcPr>
            <w:tcW w:type="dxa" w:w="4082"/>
            <w:vAlign w:val="center"/>
            <w:shd w:fill="FAFBFD"/>
          </w:tcPr>
          <w:p>
            <w:pPr>
              <w:spacing w:after="0" w:line="247" w:lineRule="auto"/>
            </w:pPr>
            <w:r/>
            <w:r>
              <w:rPr>
                <w:b w:val="0"/>
                <w:sz w:val="17"/>
              </w:rPr>
              <w:t>Final wording difference: This becomes the primary headline value-add claim, with a positive but modest SPY margin.</w:t>
            </w:r>
          </w:p>
        </w:tc>
      </w:tr>
      <w:tr>
        <w:tc>
          <w:tcPr>
            <w:tcW w:type="dxa" w:w="2381"/>
            <w:vAlign w:val="center"/>
            <w:shd w:fill="EEF3FA"/>
          </w:tcPr>
          <w:p>
            <w:pPr>
              <w:spacing w:after="0" w:line="247" w:lineRule="auto"/>
            </w:pPr>
            <w:r/>
            <w:r>
              <w:rPr>
                <w:b w:val="0"/>
                <w:sz w:val="17"/>
              </w:rPr>
              <w:t>Criterion 2: lower stress max drawdown than static baseline</w:t>
            </w:r>
          </w:p>
        </w:tc>
        <w:tc>
          <w:tcPr>
            <w:tcW w:type="dxa" w:w="4025"/>
            <w:vAlign w:val="center"/>
          </w:tcPr>
          <w:p>
            <w:pPr>
              <w:spacing w:after="0" w:line="247" w:lineRule="auto"/>
            </w:pPr>
            <w:r/>
            <w:r>
              <w:rPr>
                <w:b w:val="0"/>
                <w:sz w:val="17"/>
              </w:rPr>
              <w:t>The final revision table correctly marked this as Fail.</w:t>
            </w:r>
          </w:p>
        </w:tc>
        <w:tc>
          <w:tcPr>
            <w:tcW w:type="dxa" w:w="4535"/>
            <w:vAlign w:val="center"/>
          </w:tcPr>
          <w:p>
            <w:pPr>
              <w:spacing w:after="0" w:line="247" w:lineRule="auto"/>
            </w:pPr>
            <w:r/>
            <w:r>
              <w:rPr>
                <w:b w:val="0"/>
                <w:sz w:val="17"/>
              </w:rPr>
              <w:t>No direct SPY pass/fail effect: the criterion compares strategy stress MDD 13.18% with static-baseline stress MDD 11.78%. The SPY stress excess reading is -2.49%.</w:t>
            </w:r>
          </w:p>
        </w:tc>
        <w:tc>
          <w:tcPr>
            <w:tcW w:type="dxa" w:w="4082"/>
            <w:vAlign w:val="center"/>
          </w:tcPr>
          <w:p>
            <w:pPr>
              <w:spacing w:after="0" w:line="247" w:lineRule="auto"/>
            </w:pPr>
            <w:r/>
            <w:r>
              <w:rPr>
                <w:b w:val="0"/>
                <w:sz w:val="17"/>
              </w:rPr>
              <w:t>Final wording difference: The failed stress-drawdown criterion stays in the main conclusion. The negative SPY stress excess reinforces the cautious stress wording.</w:t>
            </w:r>
          </w:p>
        </w:tc>
      </w:tr>
      <w:tr>
        <w:tc>
          <w:tcPr>
            <w:tcW w:type="dxa" w:w="2381"/>
            <w:vAlign w:val="center"/>
            <w:shd w:fill="EEF3FA"/>
          </w:tcPr>
          <w:p>
            <w:pPr>
              <w:spacing w:after="0" w:line="247" w:lineRule="auto"/>
            </w:pPr>
            <w:r/>
            <w:r>
              <w:rPr>
                <w:b w:val="0"/>
                <w:sz w:val="17"/>
              </w:rPr>
              <w:t>Criterion 3: Sharpe, Sortino, and IR versus static / primary</w:t>
            </w:r>
          </w:p>
        </w:tc>
        <w:tc>
          <w:tcPr>
            <w:tcW w:type="dxa" w:w="4025"/>
            <w:vAlign w:val="center"/>
            <w:shd w:fill="FAFBFD"/>
          </w:tcPr>
          <w:p>
            <w:pPr>
              <w:spacing w:after="0" w:line="247" w:lineRule="auto"/>
            </w:pPr>
            <w:r/>
            <w:r>
              <w:rPr>
                <w:b w:val="0"/>
                <w:sz w:val="17"/>
              </w:rPr>
              <w:t>The final revision table marked this as Pass but did not separate the SPY-linked IR leg.</w:t>
            </w:r>
          </w:p>
        </w:tc>
        <w:tc>
          <w:tcPr>
            <w:tcW w:type="dxa" w:w="4535"/>
            <w:vAlign w:val="center"/>
            <w:shd w:fill="FAFBFD"/>
          </w:tcPr>
          <w:p>
            <w:pPr>
              <w:spacing w:after="0" w:line="247" w:lineRule="auto"/>
            </w:pPr>
            <w:r/>
            <w:r>
              <w:rPr>
                <w:b w:val="0"/>
                <w:sz w:val="17"/>
              </w:rPr>
              <w:t>SPY affects the IR component: strategy IR versus primary benchmark is 0.126, while the static baseline IR versus primary benchmark is -0.463. Sharpe is 0.582 versus 0.352; Sortino is 0.917 versus 0.536.</w:t>
            </w:r>
          </w:p>
        </w:tc>
        <w:tc>
          <w:tcPr>
            <w:tcW w:type="dxa" w:w="4082"/>
            <w:vAlign w:val="center"/>
            <w:shd w:fill="FAFBFD"/>
          </w:tcPr>
          <w:p>
            <w:pPr>
              <w:spacing w:after="0" w:line="247" w:lineRule="auto"/>
            </w:pPr>
            <w:r/>
            <w:r>
              <w:rPr>
                <w:b w:val="0"/>
                <w:sz w:val="17"/>
              </w:rPr>
              <w:t>Final wording difference: The risk-adjusted pass remains valid. SPY matters through the IR leg, while Sharpe and Sortino support the static-baseline comparison.</w:t>
            </w:r>
          </w:p>
        </w:tc>
      </w:tr>
      <w:tr>
        <w:tc>
          <w:tcPr>
            <w:tcW w:type="dxa" w:w="2381"/>
            <w:vAlign w:val="center"/>
            <w:shd w:fill="EEF3FA"/>
          </w:tcPr>
          <w:p>
            <w:pPr>
              <w:spacing w:after="0" w:line="247" w:lineRule="auto"/>
            </w:pPr>
            <w:r/>
            <w:r>
              <w:rPr>
                <w:b w:val="0"/>
                <w:sz w:val="17"/>
              </w:rPr>
              <w:t>Criterion 4: 25 bps cost survival</w:t>
            </w:r>
          </w:p>
        </w:tc>
        <w:tc>
          <w:tcPr>
            <w:tcW w:type="dxa" w:w="4025"/>
            <w:vAlign w:val="center"/>
          </w:tcPr>
          <w:p>
            <w:pPr>
              <w:spacing w:after="0" w:line="247" w:lineRule="auto"/>
            </w:pPr>
            <w:r/>
            <w:r>
              <w:rPr>
                <w:b w:val="0"/>
                <w:sz w:val="17"/>
              </w:rPr>
              <w:t>The final revision table listed Criterion 4 as Pass. The generated scorecard evidence field records the stronger internal-benchmark value.</w:t>
            </w:r>
          </w:p>
        </w:tc>
        <w:tc>
          <w:tcPr>
            <w:tcW w:type="dxa" w:w="4535"/>
            <w:vAlign w:val="center"/>
          </w:tcPr>
          <w:p>
            <w:pPr>
              <w:spacing w:after="0" w:line="247" w:lineRule="auto"/>
            </w:pPr>
            <w:r/>
            <w:r>
              <w:rPr>
                <w:b w:val="0"/>
                <w:sz w:val="17"/>
              </w:rPr>
              <w:t>Direct SPY effect under the final primary baseline: 25 bps excess return is 0.48% versus SPY. The supporting Universe EW value is 2.21%.</w:t>
            </w:r>
          </w:p>
        </w:tc>
        <w:tc>
          <w:tcPr>
            <w:tcW w:type="dxa" w:w="4082"/>
            <w:vAlign w:val="center"/>
          </w:tcPr>
          <w:p>
            <w:pPr>
              <w:spacing w:after="0" w:line="247" w:lineRule="auto"/>
            </w:pPr>
            <w:r/>
            <w:r>
              <w:rPr>
                <w:b w:val="0"/>
                <w:sz w:val="17"/>
              </w:rPr>
              <w:t>Final wording difference: The criterion remains a pass, but the report uses +0.48% as the SPY headline and +2.21% as supporting internal-benchmark evidence.</w:t>
            </w:r>
          </w:p>
        </w:tc>
      </w:tr>
      <w:tr>
        <w:tc>
          <w:tcPr>
            <w:tcW w:type="dxa" w:w="2381"/>
            <w:vAlign w:val="center"/>
            <w:shd w:fill="EEF3FA"/>
          </w:tcPr>
          <w:p>
            <w:pPr>
              <w:spacing w:after="0" w:line="247" w:lineRule="auto"/>
            </w:pPr>
            <w:r/>
            <w:r>
              <w:rPr>
                <w:b w:val="0"/>
                <w:sz w:val="17"/>
              </w:rPr>
              <w:t>Criterion 5: positive stress-period excess versus static baseline</w:t>
            </w:r>
          </w:p>
        </w:tc>
        <w:tc>
          <w:tcPr>
            <w:tcW w:type="dxa" w:w="4025"/>
            <w:vAlign w:val="center"/>
            <w:shd w:fill="FAFBFD"/>
          </w:tcPr>
          <w:p>
            <w:pPr>
              <w:spacing w:after="0" w:line="247" w:lineRule="auto"/>
            </w:pPr>
            <w:r/>
            <w:r>
              <w:rPr>
                <w:b w:val="0"/>
                <w:sz w:val="17"/>
              </w:rPr>
              <w:t>The final revision table correctly marked this as Fail.</w:t>
            </w:r>
          </w:p>
        </w:tc>
        <w:tc>
          <w:tcPr>
            <w:tcW w:type="dxa" w:w="4535"/>
            <w:vAlign w:val="center"/>
            <w:shd w:fill="FAFBFD"/>
          </w:tcPr>
          <w:p>
            <w:pPr>
              <w:spacing w:after="0" w:line="247" w:lineRule="auto"/>
            </w:pPr>
            <w:r/>
            <w:r>
              <w:rPr>
                <w:b w:val="0"/>
                <w:sz w:val="17"/>
              </w:rPr>
              <w:t>No direct SPY pass/fail effect: the criterion is stress excess versus static baseline, which is -1.03%. The primary-baseline stress excess versus SPY is also negative at -2.49%.</w:t>
            </w:r>
          </w:p>
        </w:tc>
        <w:tc>
          <w:tcPr>
            <w:tcW w:type="dxa" w:w="4082"/>
            <w:vAlign w:val="center"/>
            <w:shd w:fill="FAFBFD"/>
          </w:tcPr>
          <w:p>
            <w:pPr>
              <w:spacing w:after="0" w:line="247" w:lineRule="auto"/>
            </w:pPr>
            <w:r/>
            <w:r>
              <w:rPr>
                <w:b w:val="0"/>
                <w:sz w:val="17"/>
              </w:rPr>
              <w:t>Final wording difference: The stress-period failure stays central. SPY does not change the pass/fail rule, but it points in the same cautious direction.</w:t>
            </w:r>
          </w:p>
        </w:tc>
      </w:tr>
    </w:tbl>
    <w:p/>
    <w:sectPr w:rsidR="00FC693F" w:rsidRPr="0006063C" w:rsidSect="00034616">
      <w:footerReference w:type="default" r:id="rId9"/>
      <w:pgSz w:w="16838" w:h="11906" w:orient="landscape"/>
      <w:pgMar w:top="709" w:right="709" w:bottom="624"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Transaction cost and regime revision table | generated from formal 6905 outputs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92D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92D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92D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RevisionTable">
    <w:name w:val="Revision Table"/>
    <w:basedOn w:val="TableGrid"/>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