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b/>
          <w:sz w:val="36"/>
        </w:rPr>
      </w:pPr>
      <w:bookmarkStart w:id="0" w:name="_GoBack"/>
      <w:bookmarkEnd w:id="0"/>
      <w:r>
        <w:rPr>
          <w:rFonts w:hint="eastAsia"/>
          <w:b/>
          <w:sz w:val="36"/>
        </w:rPr>
        <w:t>用户安全驾驶奖励服务三方协议</w:t>
      </w:r>
    </w:p>
    <w:p>
      <w:pPr>
        <w:jc w:val="center"/>
        <w:rPr>
          <w:rFonts w:hint="eastAsia"/>
          <w:b/>
          <w:sz w:val="36"/>
        </w:rPr>
      </w:pPr>
    </w:p>
    <w:p>
      <w:pPr>
        <w:pStyle w:val="12"/>
        <w:numPr>
          <w:ilvl w:val="0"/>
          <w:numId w:val="1"/>
        </w:numPr>
        <w:ind w:firstLineChars="0"/>
      </w:pPr>
      <w:r>
        <w:rPr>
          <w:rFonts w:hint="eastAsia"/>
        </w:rPr>
        <w:t>服务对象：已购买</w:t>
      </w:r>
      <w:r>
        <w:t>太平洋</w:t>
      </w:r>
      <w:r>
        <w:rPr>
          <w:rFonts w:hint="eastAsia"/>
        </w:rPr>
        <w:t>车险的或</w:t>
      </w:r>
      <w:r>
        <w:rPr>
          <w:rFonts w:hint="eastAsia" w:ascii="宋体" w:hAnsi="宋体"/>
        </w:rPr>
        <w:t>免费获得赠送汽车智能硬件的车辆</w:t>
      </w:r>
    </w:p>
    <w:p>
      <w:pPr>
        <w:pStyle w:val="12"/>
        <w:numPr>
          <w:ilvl w:val="0"/>
          <w:numId w:val="1"/>
        </w:numPr>
        <w:ind w:firstLineChars="0"/>
      </w:pPr>
      <w:r>
        <w:rPr>
          <w:rFonts w:hint="eastAsia"/>
        </w:rPr>
        <w:t>服务期限：以</w:t>
      </w:r>
      <w:r>
        <w:t>太平洋</w:t>
      </w:r>
      <w:r>
        <w:rPr>
          <w:rFonts w:hint="eastAsia"/>
        </w:rPr>
        <w:t>车险保单载明的起始结束时间为准</w:t>
      </w:r>
    </w:p>
    <w:p>
      <w:pPr>
        <w:pStyle w:val="12"/>
        <w:numPr>
          <w:ilvl w:val="0"/>
          <w:numId w:val="1"/>
        </w:numPr>
        <w:ind w:firstLineChars="0"/>
      </w:pPr>
      <w:r>
        <w:rPr>
          <w:rFonts w:hint="eastAsia"/>
        </w:rPr>
        <w:t>服务内容：安全驾驶奖励服务</w:t>
      </w:r>
    </w:p>
    <w:p>
      <w:pPr>
        <w:pStyle w:val="12"/>
        <w:numPr>
          <w:ilvl w:val="0"/>
          <w:numId w:val="1"/>
        </w:numPr>
        <w:ind w:firstLineChars="0"/>
        <w:rPr>
          <w:rFonts w:ascii="宋体" w:hAnsi="宋体"/>
        </w:rPr>
      </w:pPr>
      <w:r>
        <w:rPr>
          <w:rFonts w:hint="eastAsia" w:ascii="宋体" w:hAnsi="宋体"/>
        </w:rPr>
        <w:t>奖励兑现：通过赛格车圣在太平洋保险续保才可进行奖励兑现</w:t>
      </w:r>
    </w:p>
    <w:p>
      <w:pPr>
        <w:rPr>
          <w:rFonts w:hint="eastAsia"/>
        </w:rPr>
      </w:pPr>
    </w:p>
    <w:p>
      <w:r>
        <w:rPr>
          <w:rFonts w:hint="eastAsia"/>
        </w:rPr>
        <w:t>本协议系任何获得安全驾驶奖励服务的使用人（以下简称“用户”）与深圳市赛格车圣智联科技有限公司（以下简称“赛格车圣”）和中国太平洋财产保险股份有限公司深圳分公司（以下简称“</w:t>
      </w:r>
      <w:r>
        <w:t>太平洋</w:t>
      </w:r>
      <w:r>
        <w:rPr>
          <w:rFonts w:hint="eastAsia"/>
        </w:rPr>
        <w:t>车险”）就用户享受安全驾驶奖励服务所订立的权利义务规范，请用户务必审慎阅读、充分理解以下各条款内容。用户一旦签署本协议并安装智能硬件（产品名称“车圣U宝”），均视同用户已完全同意并接受本协议，同时表明用户已完全同意本协议及</w:t>
      </w:r>
      <w:r>
        <w:t>赛格车圣</w:t>
      </w:r>
      <w:r>
        <w:rPr>
          <w:rFonts w:hint="eastAsia"/>
        </w:rPr>
        <w:t>公示的各项规则、规范的全部内容。</w:t>
      </w:r>
    </w:p>
    <w:p>
      <w:r>
        <w:rPr>
          <w:rFonts w:hint="eastAsia"/>
        </w:rPr>
        <w:t>若用户不同意本协议的相应条款或不同意赛格车圣所发布的其他协议及声明内容，可以不签署三方协议，否则视同用户已完全同意并接受本协议。</w:t>
      </w:r>
    </w:p>
    <w:p>
      <w:r>
        <w:rPr>
          <w:rFonts w:hint="eastAsia"/>
        </w:rPr>
        <w:t>针对同意本协议并参与安全驾驶奖励服务的用户，必须将智能硬件安装在投保车辆上，若经终端检测发现设备安装在非投保车辆上，则系统将该用户安全驾驶奖励自动清零。</w:t>
      </w:r>
    </w:p>
    <w:p>
      <w:r>
        <w:rPr>
          <w:rFonts w:hint="eastAsia"/>
        </w:rPr>
        <w:t>本协议的具体内容包括但不局限于：</w:t>
      </w:r>
    </w:p>
    <w:p>
      <w:r>
        <w:rPr>
          <w:rFonts w:hint="eastAsia"/>
        </w:rPr>
        <w:t>1.用户投保</w:t>
      </w:r>
      <w:r>
        <w:t>太平洋</w:t>
      </w:r>
      <w:r>
        <w:rPr>
          <w:rFonts w:hint="eastAsia"/>
        </w:rPr>
        <w:t>车险后，获得并使用智能硬件，可享安全驾驶奖励服务；</w:t>
      </w:r>
    </w:p>
    <w:p>
      <w:r>
        <w:rPr>
          <w:rFonts w:hint="eastAsia"/>
        </w:rPr>
        <w:t>2.安全驾驶奖励的有效期为用户对应的保单的有效期（以</w:t>
      </w:r>
      <w:r>
        <w:t>太平洋</w:t>
      </w:r>
      <w:r>
        <w:rPr>
          <w:rFonts w:hint="eastAsia"/>
        </w:rPr>
        <w:t>车险保单载明的起始时间算起），保单有效期外安全驾驶奖励服务终止；</w:t>
      </w:r>
    </w:p>
    <w:p>
      <w:r>
        <w:rPr>
          <w:rFonts w:hint="eastAsia"/>
        </w:rPr>
        <w:t>3.在有效期内，若赛格车圣指定的智能硬件与被保车辆断开物理连接累计超过48小时（硬件故障原因除外），赛格车圣有权单方面终止本协议并收回指定的车载设备。</w:t>
      </w:r>
    </w:p>
    <w:p>
      <w:r>
        <w:rPr>
          <w:rFonts w:hint="eastAsia"/>
        </w:rPr>
        <w:t>4.用户通过安装车圣U宝产品参与本次安全驾驶奖励活动，奖励活动规则如下：</w:t>
      </w:r>
    </w:p>
    <w:tbl>
      <w:tblPr>
        <w:tblStyle w:val="10"/>
        <w:tblW w:w="779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425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75" w:type="dxa"/>
            <w:vAlign w:val="top"/>
          </w:tcPr>
          <w:p>
            <w:pPr>
              <w:jc w:val="center"/>
              <w:rPr>
                <w:b/>
              </w:rPr>
            </w:pPr>
            <w:r>
              <w:rPr>
                <w:rFonts w:hint="eastAsia"/>
                <w:b/>
              </w:rPr>
              <w:t>奖励类别</w:t>
            </w:r>
          </w:p>
        </w:tc>
        <w:tc>
          <w:tcPr>
            <w:tcW w:w="4253" w:type="dxa"/>
            <w:vAlign w:val="top"/>
          </w:tcPr>
          <w:p>
            <w:pPr>
              <w:jc w:val="center"/>
              <w:rPr>
                <w:b/>
              </w:rPr>
            </w:pPr>
            <w:r>
              <w:rPr>
                <w:rFonts w:hint="eastAsia"/>
                <w:b/>
              </w:rPr>
              <w:t>收益规则</w:t>
            </w:r>
          </w:p>
        </w:tc>
        <w:tc>
          <w:tcPr>
            <w:tcW w:w="2268" w:type="dxa"/>
            <w:vAlign w:val="top"/>
          </w:tcPr>
          <w:p>
            <w:pPr>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75" w:type="dxa"/>
            <w:vAlign w:val="center"/>
          </w:tcPr>
          <w:p>
            <w:pPr>
              <w:jc w:val="center"/>
            </w:pPr>
            <w:r>
              <w:rPr>
                <w:rFonts w:hint="eastAsia"/>
              </w:rPr>
              <w:t>安全驾驶</w:t>
            </w:r>
          </w:p>
        </w:tc>
        <w:tc>
          <w:tcPr>
            <w:tcW w:w="4253" w:type="dxa"/>
            <w:vAlign w:val="top"/>
          </w:tcPr>
          <w:p>
            <w:r>
              <w:rPr>
                <w:rFonts w:hint="eastAsia"/>
              </w:rPr>
              <w:t>当日驾驶行为评分</w:t>
            </w:r>
          </w:p>
          <w:p>
            <w:r>
              <w:rPr>
                <w:rFonts w:hint="eastAsia"/>
              </w:rPr>
              <w:t>90分以上，奖励2元；</w:t>
            </w:r>
          </w:p>
          <w:p>
            <w:r>
              <w:rPr>
                <w:rFonts w:hint="eastAsia"/>
              </w:rPr>
              <w:t>80分以上，奖励1元；</w:t>
            </w:r>
          </w:p>
          <w:p>
            <w:r>
              <w:rPr>
                <w:rFonts w:hint="eastAsia"/>
              </w:rPr>
              <w:t>60分以上，奖励0元；</w:t>
            </w:r>
          </w:p>
          <w:p>
            <w:r>
              <w:rPr>
                <w:rFonts w:hint="eastAsia"/>
              </w:rPr>
              <w:t>60分以下，扣除1元；</w:t>
            </w:r>
          </w:p>
        </w:tc>
        <w:tc>
          <w:tcPr>
            <w:tcW w:w="2268" w:type="dxa"/>
            <w:vAlign w:val="top"/>
          </w:tcPr>
          <w:p>
            <w:r>
              <w:rPr>
                <w:rFonts w:hint="eastAsia"/>
              </w:rPr>
              <w:t>评分条件：一次驾驶10公里以上或10分钟以上才进行驾驶评分。</w:t>
            </w:r>
          </w:p>
          <w:p>
            <w:r>
              <w:rPr>
                <w:rFonts w:hint="eastAsia"/>
              </w:rPr>
              <w:t>最高奖励500元。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75" w:type="dxa"/>
            <w:vAlign w:val="center"/>
          </w:tcPr>
          <w:p>
            <w:pPr>
              <w:jc w:val="center"/>
            </w:pPr>
            <w:r>
              <w:rPr>
                <w:rFonts w:hint="eastAsia"/>
              </w:rPr>
              <w:t>里程累计</w:t>
            </w:r>
          </w:p>
        </w:tc>
        <w:tc>
          <w:tcPr>
            <w:tcW w:w="4253" w:type="dxa"/>
            <w:vAlign w:val="top"/>
          </w:tcPr>
          <w:p>
            <w:r>
              <w:rPr>
                <w:rFonts w:hint="eastAsia"/>
              </w:rPr>
              <w:t>5000公里以内返300元；</w:t>
            </w:r>
          </w:p>
          <w:p>
            <w:r>
              <w:rPr>
                <w:rFonts w:hint="eastAsia"/>
              </w:rPr>
              <w:t>10000公里返200元；</w:t>
            </w:r>
          </w:p>
          <w:p>
            <w:r>
              <w:rPr>
                <w:rFonts w:hint="eastAsia"/>
              </w:rPr>
              <w:t>15000公里返100元；</w:t>
            </w:r>
          </w:p>
          <w:p>
            <w:r>
              <w:rPr>
                <w:rFonts w:hint="eastAsia"/>
              </w:rPr>
              <w:t>20000公里返50元；</w:t>
            </w:r>
          </w:p>
          <w:p>
            <w:r>
              <w:rPr>
                <w:rFonts w:hint="eastAsia"/>
              </w:rPr>
              <w:t>25000公里返20元；</w:t>
            </w:r>
          </w:p>
        </w:tc>
        <w:tc>
          <w:tcPr>
            <w:tcW w:w="2268" w:type="dxa"/>
            <w:vAlign w:val="top"/>
          </w:tcPr>
          <w:p>
            <w:r>
              <w:rPr>
                <w:rFonts w:hint="eastAsia"/>
              </w:rPr>
              <w:t>如用户未满12个月提前购买保险，里程数将（按活动期间日均里程*365天）进行换算。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75" w:type="dxa"/>
            <w:vAlign w:val="center"/>
          </w:tcPr>
          <w:p>
            <w:pPr>
              <w:jc w:val="center"/>
            </w:pPr>
            <w:r>
              <w:rPr>
                <w:rFonts w:hint="eastAsia"/>
              </w:rPr>
              <w:t>绿色出行</w:t>
            </w:r>
          </w:p>
        </w:tc>
        <w:tc>
          <w:tcPr>
            <w:tcW w:w="4253" w:type="dxa"/>
            <w:vAlign w:val="top"/>
          </w:tcPr>
          <w:p>
            <w:r>
              <w:rPr>
                <w:rFonts w:hint="eastAsia"/>
              </w:rPr>
              <w:t>一整天（0点到24点）不开车，并处于熄火状态，奖励1元，一年最多奖励200天，相当于一年可奖励200元。</w:t>
            </w:r>
          </w:p>
        </w:tc>
        <w:tc>
          <w:tcPr>
            <w:tcW w:w="226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75" w:type="dxa"/>
            <w:vAlign w:val="center"/>
          </w:tcPr>
          <w:p>
            <w:pPr>
              <w:jc w:val="center"/>
            </w:pPr>
            <w:r>
              <w:rPr>
                <w:rFonts w:hint="eastAsia"/>
              </w:rPr>
              <w:t>推荐奖励</w:t>
            </w:r>
          </w:p>
        </w:tc>
        <w:tc>
          <w:tcPr>
            <w:tcW w:w="4253" w:type="dxa"/>
            <w:vAlign w:val="top"/>
          </w:tcPr>
          <w:p>
            <w:r>
              <w:rPr>
                <w:rFonts w:hint="eastAsia"/>
              </w:rPr>
              <w:t>推荐给身边有车的亲友，成功安装产品后奖励50元/人，无上限。</w:t>
            </w:r>
          </w:p>
        </w:tc>
        <w:tc>
          <w:tcPr>
            <w:tcW w:w="2268" w:type="dxa"/>
            <w:vAlign w:val="top"/>
          </w:tcPr>
          <w:p>
            <w:r>
              <w:rPr>
                <w:rFonts w:hint="eastAsia"/>
              </w:rPr>
              <w:t>推荐亲友须是通过赛格车圣购买保险。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75" w:type="dxa"/>
            <w:vAlign w:val="center"/>
          </w:tcPr>
          <w:p>
            <w:pPr>
              <w:jc w:val="center"/>
            </w:pPr>
            <w:r>
              <w:rPr>
                <w:rFonts w:hint="eastAsia"/>
              </w:rPr>
              <w:t>收益用处</w:t>
            </w:r>
          </w:p>
        </w:tc>
        <w:tc>
          <w:tcPr>
            <w:tcW w:w="6521" w:type="dxa"/>
            <w:gridSpan w:val="2"/>
            <w:vAlign w:val="top"/>
          </w:tcPr>
          <w:p>
            <w:pPr>
              <w:pStyle w:val="3"/>
            </w:pPr>
            <w:r>
              <w:rPr>
                <w:rFonts w:hint="eastAsia"/>
              </w:rPr>
              <w:t>用户可通过账户提现上一年安全驾驶奖励金额的100%，更多收益抵用将陆续推出。</w:t>
            </w:r>
          </w:p>
        </w:tc>
      </w:tr>
    </w:tbl>
    <w:p>
      <w:pPr>
        <w:rPr>
          <w:rFonts w:ascii="宋体" w:hAnsi="宋体"/>
        </w:rPr>
      </w:pPr>
      <w:r>
        <w:rPr>
          <w:rFonts w:hint="eastAsia" w:ascii="宋体" w:hAnsi="宋体"/>
        </w:rPr>
        <w:t>*以上安全驾驶奖励最高为1000元（推荐奖励另计），享受安全驾驶奖励服务是以用户在</w:t>
      </w:r>
      <w:r>
        <w:rPr>
          <w:rFonts w:ascii="宋体" w:hAnsi="宋体"/>
        </w:rPr>
        <w:t>太平洋</w:t>
      </w:r>
      <w:r>
        <w:rPr>
          <w:rFonts w:hint="eastAsia" w:ascii="宋体" w:hAnsi="宋体"/>
        </w:rPr>
        <w:t>车险投保了车辆保险（须包含商业险）为前提的。</w:t>
      </w:r>
    </w:p>
    <w:p>
      <w:r>
        <w:rPr>
          <w:rFonts w:hint="eastAsia"/>
        </w:rPr>
        <w:t>5.用户安全驾驶奖励如出现以下情况将进行奖励折扣。</w:t>
      </w:r>
    </w:p>
    <w:tbl>
      <w:tblPr>
        <w:tblStyle w:val="11"/>
        <w:tblW w:w="7982"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5"/>
        <w:gridCol w:w="1778"/>
        <w:gridCol w:w="2246"/>
        <w:gridCol w:w="2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715" w:type="dxa"/>
            <w:vAlign w:val="top"/>
          </w:tcPr>
          <w:p>
            <w:pPr>
              <w:jc w:val="center"/>
              <w:rPr>
                <w:rFonts w:eastAsia="宋体" w:cs="Times New Roman"/>
                <w:b/>
              </w:rPr>
            </w:pPr>
            <w:r>
              <w:rPr>
                <w:rFonts w:hint="eastAsia" w:eastAsia="宋体" w:cs="Times New Roman"/>
                <w:b/>
              </w:rPr>
              <w:t>出险次数</w:t>
            </w:r>
          </w:p>
        </w:tc>
        <w:tc>
          <w:tcPr>
            <w:tcW w:w="1778" w:type="dxa"/>
            <w:vAlign w:val="top"/>
          </w:tcPr>
          <w:p>
            <w:pPr>
              <w:jc w:val="center"/>
              <w:rPr>
                <w:rFonts w:eastAsia="宋体" w:cs="Times New Roman"/>
                <w:b/>
              </w:rPr>
            </w:pPr>
            <w:r>
              <w:rPr>
                <w:rFonts w:hint="eastAsia" w:eastAsia="宋体" w:cs="Times New Roman"/>
                <w:b/>
              </w:rPr>
              <w:t>出险情况=1</w:t>
            </w:r>
          </w:p>
        </w:tc>
        <w:tc>
          <w:tcPr>
            <w:tcW w:w="2246" w:type="dxa"/>
            <w:vAlign w:val="top"/>
          </w:tcPr>
          <w:p>
            <w:pPr>
              <w:jc w:val="center"/>
              <w:rPr>
                <w:rFonts w:eastAsia="宋体" w:cs="Times New Roman"/>
                <w:b/>
              </w:rPr>
            </w:pPr>
            <w:r>
              <w:rPr>
                <w:rFonts w:hint="eastAsia" w:eastAsia="宋体" w:cs="Times New Roman"/>
                <w:b/>
              </w:rPr>
              <w:t>出险情况=2</w:t>
            </w:r>
          </w:p>
        </w:tc>
        <w:tc>
          <w:tcPr>
            <w:tcW w:w="2243" w:type="dxa"/>
            <w:vAlign w:val="top"/>
          </w:tcPr>
          <w:p>
            <w:pPr>
              <w:jc w:val="center"/>
              <w:rPr>
                <w:rFonts w:eastAsia="宋体" w:cs="Times New Roman"/>
                <w:b/>
              </w:rPr>
            </w:pPr>
            <w:r>
              <w:rPr>
                <w:rFonts w:hint="eastAsia" w:eastAsia="宋体" w:cs="Times New Roman"/>
                <w:b/>
              </w:rPr>
              <w:t>出险情况</w:t>
            </w:r>
            <w:r>
              <w:rPr>
                <w:rFonts w:hint="eastAsia" w:ascii="宋体" w:hAnsi="宋体" w:eastAsia="宋体" w:cs="Times New Roman"/>
                <w:b/>
              </w:rPr>
              <w:t>≥</w:t>
            </w:r>
            <w:r>
              <w:rPr>
                <w:rFonts w:hint="eastAsia" w:eastAsia="宋体" w:cs="Times New Roman"/>
                <w:b/>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1715" w:type="dxa"/>
            <w:vAlign w:val="top"/>
          </w:tcPr>
          <w:p>
            <w:pPr>
              <w:jc w:val="center"/>
            </w:pPr>
            <w:r>
              <w:rPr>
                <w:rFonts w:hint="eastAsia" w:eastAsia="宋体" w:cs="Times New Roman"/>
                <w:b/>
              </w:rPr>
              <w:t>奖励折扣</w:t>
            </w:r>
          </w:p>
        </w:tc>
        <w:tc>
          <w:tcPr>
            <w:tcW w:w="1778" w:type="dxa"/>
            <w:vAlign w:val="top"/>
          </w:tcPr>
          <w:p>
            <w:pPr>
              <w:jc w:val="center"/>
            </w:pPr>
            <w:r>
              <w:rPr>
                <w:rFonts w:hint="eastAsia" w:eastAsia="宋体" w:cs="Times New Roman"/>
              </w:rPr>
              <w:t>60%</w:t>
            </w:r>
          </w:p>
        </w:tc>
        <w:tc>
          <w:tcPr>
            <w:tcW w:w="2246" w:type="dxa"/>
            <w:vAlign w:val="top"/>
          </w:tcPr>
          <w:p>
            <w:pPr>
              <w:jc w:val="center"/>
            </w:pPr>
            <w:r>
              <w:rPr>
                <w:rFonts w:hint="eastAsia" w:ascii="宋体" w:hAnsi="宋体" w:eastAsia="宋体" w:cs="Times New Roman"/>
              </w:rPr>
              <w:t>30%</w:t>
            </w:r>
          </w:p>
        </w:tc>
        <w:tc>
          <w:tcPr>
            <w:tcW w:w="2243" w:type="dxa"/>
            <w:vAlign w:val="top"/>
          </w:tcPr>
          <w:p>
            <w:pPr>
              <w:jc w:val="center"/>
            </w:pPr>
            <w:r>
              <w:rPr>
                <w:rFonts w:hint="eastAsia" w:ascii="宋体" w:hAnsi="宋体" w:eastAsia="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1715" w:type="dxa"/>
            <w:vAlign w:val="top"/>
          </w:tcPr>
          <w:p>
            <w:pPr>
              <w:jc w:val="center"/>
            </w:pPr>
            <w:r>
              <w:rPr>
                <w:rFonts w:hint="eastAsia" w:eastAsia="宋体" w:cs="Times New Roman"/>
              </w:rPr>
              <w:t>备注</w:t>
            </w:r>
          </w:p>
        </w:tc>
        <w:tc>
          <w:tcPr>
            <w:tcW w:w="6267" w:type="dxa"/>
            <w:gridSpan w:val="3"/>
            <w:vAlign w:val="top"/>
          </w:tcPr>
          <w:p>
            <w:pPr>
              <w:rPr>
                <w:rFonts w:eastAsia="宋体" w:cs="Times New Roman"/>
              </w:rPr>
            </w:pPr>
            <w:r>
              <w:rPr>
                <w:rFonts w:hint="eastAsia" w:eastAsia="宋体" w:cs="Times New Roman"/>
              </w:rPr>
              <w:t>若用户在保险有效期内退保、或保险有效期内出险情况</w:t>
            </w:r>
            <w:r>
              <w:rPr>
                <w:rFonts w:hint="eastAsia" w:ascii="宋体" w:hAnsi="宋体" w:eastAsia="宋体" w:cs="Times New Roman"/>
              </w:rPr>
              <w:t>≥</w:t>
            </w:r>
            <w:r>
              <w:rPr>
                <w:rFonts w:hint="eastAsia" w:eastAsia="宋体" w:cs="Times New Roman"/>
              </w:rPr>
              <w:t>3次，奖励金额清零；若用户在保险有效期内出险情况=0，则约定奖励服务继续生效</w:t>
            </w:r>
            <w:r>
              <w:rPr>
                <w:rFonts w:hint="eastAsia" w:ascii="宋体" w:hAnsi="宋体" w:eastAsia="宋体" w:cs="Times New Roman"/>
              </w:rPr>
              <w:t>。</w:t>
            </w:r>
          </w:p>
        </w:tc>
      </w:tr>
    </w:tbl>
    <w:p>
      <w:pPr>
        <w:rPr>
          <w:rFonts w:ascii="宋体" w:hAnsi="宋体"/>
        </w:rPr>
      </w:pPr>
    </w:p>
    <w:p>
      <w:r>
        <w:rPr>
          <w:rFonts w:hint="eastAsia"/>
        </w:rPr>
        <w:t>6.在保险有效期内，用户的行驶公里数，以</w:t>
      </w:r>
      <w:r>
        <w:t>赛格车圣</w:t>
      </w:r>
      <w:r>
        <w:rPr>
          <w:rFonts w:hint="eastAsia"/>
        </w:rPr>
        <w:t>指定的智能硬件统计为准。若因为设备故障或其他异常原因导致设备统计里程数与实际不符，用户须联系</w:t>
      </w:r>
      <w:r>
        <w:t>赛格车圣</w:t>
      </w:r>
      <w:r>
        <w:rPr>
          <w:rFonts w:hint="eastAsia"/>
        </w:rPr>
        <w:t>客服，出具设备故障或其他异常原因的证明，协商矫正偏差的行驶公里数。</w:t>
      </w:r>
    </w:p>
    <w:p>
      <w:r>
        <w:rPr>
          <w:rFonts w:hint="eastAsia"/>
        </w:rPr>
        <w:t>7.用户驾驶奖励使用方式：用户在赛格车圣购买下一年</w:t>
      </w:r>
      <w:r>
        <w:t>太平洋</w:t>
      </w:r>
      <w:r>
        <w:rPr>
          <w:rFonts w:hint="eastAsia"/>
        </w:rPr>
        <w:t>车险，完成保单付款后，用户可以通过账户提现上一年的安全驾驶奖励金额；</w:t>
      </w:r>
    </w:p>
    <w:p>
      <w:r>
        <w:rPr>
          <w:rFonts w:hint="eastAsia"/>
        </w:rPr>
        <w:t>举例说明：A用户2015年购买</w:t>
      </w:r>
      <w:r>
        <w:t>太平洋</w:t>
      </w:r>
      <w:r>
        <w:rPr>
          <w:rFonts w:hint="eastAsia"/>
        </w:rPr>
        <w:t>车险获得车圣U宝首次参与安全驾驶奖励，在保险有效期内获得800元驾驶奖励，而且期间无出险情况，那么A在赛格车圣购买下一年的</w:t>
      </w:r>
      <w:r>
        <w:t>太平洋</w:t>
      </w:r>
      <w:r>
        <w:rPr>
          <w:rFonts w:hint="eastAsia"/>
        </w:rPr>
        <w:t>车险后，A用户可以在车圣U宝平台对上一年的驾驶奖励金额进行全额提现。</w:t>
      </w:r>
    </w:p>
    <w:p>
      <w:r>
        <w:rPr>
          <w:rFonts w:hint="eastAsia"/>
        </w:rPr>
        <w:t>8.赛格车圣承诺用户在自有渠道购买</w:t>
      </w:r>
      <w:r>
        <w:t>太平洋</w:t>
      </w:r>
      <w:r>
        <w:rPr>
          <w:rFonts w:hint="eastAsia"/>
        </w:rPr>
        <w:t>车险后，可以对驾驶奖励金额进行提现，如出现无法提现情况，用户通过</w:t>
      </w:r>
      <w:r>
        <w:t>太平洋</w:t>
      </w:r>
      <w:r>
        <w:rPr>
          <w:rFonts w:hint="eastAsia"/>
        </w:rPr>
        <w:t>车险客服或赛格车圣客服进行投诉。</w:t>
      </w:r>
    </w:p>
    <w:p>
      <w:r>
        <w:rPr>
          <w:rFonts w:hint="eastAsia"/>
        </w:rPr>
        <w:t>9.若用户遗失</w:t>
      </w:r>
      <w:r>
        <w:t>赛格车圣</w:t>
      </w:r>
      <w:r>
        <w:rPr>
          <w:rFonts w:hint="eastAsia"/>
        </w:rPr>
        <w:t>指定的车载设备或人为造成设备损坏，</w:t>
      </w:r>
      <w:r>
        <w:t>赛格车圣</w:t>
      </w:r>
      <w:r>
        <w:rPr>
          <w:rFonts w:hint="eastAsia"/>
        </w:rPr>
        <w:t>须从用户账户内扣除对应的设备成本金额后，给用户寄送新设备。</w:t>
      </w:r>
    </w:p>
    <w:p>
      <w:r>
        <w:rPr>
          <w:rFonts w:hint="eastAsia"/>
        </w:rPr>
        <w:t>10.如三方就本协议内容或其执行发生任何争议，三方应尽量友好协商解决。协商不成时，任何一方均可向</w:t>
      </w:r>
      <w:r>
        <w:t>赛格车圣</w:t>
      </w:r>
      <w:r>
        <w:rPr>
          <w:rFonts w:hint="eastAsia"/>
        </w:rPr>
        <w:t>公司所在地有管辖权的人民法院提起诉讼。</w:t>
      </w:r>
    </w:p>
    <w:p>
      <w:r>
        <w:rPr>
          <w:rFonts w:hint="eastAsia"/>
        </w:rPr>
        <w:t>11.</w:t>
      </w:r>
      <w:r>
        <w:t>赛格车圣</w:t>
      </w:r>
      <w:r>
        <w:rPr>
          <w:rFonts w:hint="eastAsia"/>
        </w:rPr>
        <w:t>具有对以上各项条款内容的最终解释权和修改权，如用户对解释或修改有异议，应当立即告知</w:t>
      </w:r>
      <w:r>
        <w:t>赛格车圣</w:t>
      </w:r>
      <w:r>
        <w:rPr>
          <w:rFonts w:hint="eastAsia"/>
        </w:rPr>
        <w:t>并停止使用该服务。用户继续享受安全驾驶奖励服务将被视为对</w:t>
      </w:r>
      <w:r>
        <w:t>赛格车圣</w:t>
      </w:r>
      <w:r>
        <w:rPr>
          <w:rFonts w:hint="eastAsia"/>
        </w:rPr>
        <w:t>的解释或修改的接受。</w:t>
      </w:r>
    </w:p>
    <w:p/>
    <w:p/>
    <w:p>
      <w:pPr>
        <w:sectPr>
          <w:pgSz w:w="11900" w:h="16840"/>
          <w:pgMar w:top="1418" w:right="1418" w:bottom="1418" w:left="1418" w:header="851" w:footer="992" w:gutter="0"/>
          <w:cols w:space="720" w:num="1"/>
          <w:docGrid w:type="lines" w:linePitch="312" w:charSpace="0"/>
        </w:sectPr>
      </w:pPr>
    </w:p>
    <w:p/>
    <w:sectPr>
      <w:type w:val="continuous"/>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15621039">
    <w:nsid w:val="66424CAF"/>
    <w:multiLevelType w:val="multilevel"/>
    <w:tmpl w:val="66424CAF"/>
    <w:lvl w:ilvl="0" w:tentative="1">
      <w:start w:val="1"/>
      <w:numFmt w:val="decimal"/>
      <w:lvlText w:val="%1."/>
      <w:lvlJc w:val="left"/>
      <w:pPr>
        <w:ind w:left="480" w:hanging="480"/>
      </w:p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7156210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16C5C"/>
    <w:rsid w:val="000025E2"/>
    <w:rsid w:val="00013171"/>
    <w:rsid w:val="0005367C"/>
    <w:rsid w:val="00096D92"/>
    <w:rsid w:val="000C33A0"/>
    <w:rsid w:val="000D60CB"/>
    <w:rsid w:val="001132FF"/>
    <w:rsid w:val="00144527"/>
    <w:rsid w:val="00161E41"/>
    <w:rsid w:val="001F70AE"/>
    <w:rsid w:val="00207D81"/>
    <w:rsid w:val="00243802"/>
    <w:rsid w:val="00294E6D"/>
    <w:rsid w:val="002B2FBA"/>
    <w:rsid w:val="00357D6A"/>
    <w:rsid w:val="00364528"/>
    <w:rsid w:val="003714FE"/>
    <w:rsid w:val="003A3DA4"/>
    <w:rsid w:val="003A3E46"/>
    <w:rsid w:val="003C28B9"/>
    <w:rsid w:val="003C4650"/>
    <w:rsid w:val="003D3142"/>
    <w:rsid w:val="003D5050"/>
    <w:rsid w:val="003F4407"/>
    <w:rsid w:val="004A6896"/>
    <w:rsid w:val="004B46E5"/>
    <w:rsid w:val="0059696A"/>
    <w:rsid w:val="006210BF"/>
    <w:rsid w:val="00645F89"/>
    <w:rsid w:val="00707FCA"/>
    <w:rsid w:val="00722C66"/>
    <w:rsid w:val="0074632A"/>
    <w:rsid w:val="007933DE"/>
    <w:rsid w:val="007B5338"/>
    <w:rsid w:val="007B7209"/>
    <w:rsid w:val="00805F03"/>
    <w:rsid w:val="00816C5C"/>
    <w:rsid w:val="00835484"/>
    <w:rsid w:val="008A7FF4"/>
    <w:rsid w:val="00926071"/>
    <w:rsid w:val="00953E5C"/>
    <w:rsid w:val="0097126D"/>
    <w:rsid w:val="0097467E"/>
    <w:rsid w:val="009A529C"/>
    <w:rsid w:val="009E0270"/>
    <w:rsid w:val="009F5A2C"/>
    <w:rsid w:val="00A02CA6"/>
    <w:rsid w:val="00A17249"/>
    <w:rsid w:val="00A616D6"/>
    <w:rsid w:val="00B55726"/>
    <w:rsid w:val="00BD3629"/>
    <w:rsid w:val="00C05C3C"/>
    <w:rsid w:val="00D21856"/>
    <w:rsid w:val="00D77517"/>
    <w:rsid w:val="00E32F2C"/>
    <w:rsid w:val="00E46F30"/>
    <w:rsid w:val="00EA7706"/>
    <w:rsid w:val="00EF38AD"/>
    <w:rsid w:val="00F704B9"/>
    <w:rsid w:val="00FC71B9"/>
    <w:rsid w:val="00FC7454"/>
    <w:rsid w:val="1458684B"/>
    <w:rsid w:val="1C6E60F2"/>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8">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2">
    <w:name w:val="annotation subject"/>
    <w:basedOn w:val="3"/>
    <w:next w:val="3"/>
    <w:link w:val="16"/>
    <w:unhideWhenUsed/>
    <w:uiPriority w:val="99"/>
    <w:rPr>
      <w:b/>
      <w:bCs/>
    </w:rPr>
  </w:style>
  <w:style w:type="paragraph" w:styleId="3">
    <w:name w:val="annotation text"/>
    <w:basedOn w:val="1"/>
    <w:link w:val="15"/>
    <w:unhideWhenUsed/>
    <w:uiPriority w:val="99"/>
    <w:pPr>
      <w:jc w:val="left"/>
    </w:pPr>
  </w:style>
  <w:style w:type="paragraph" w:styleId="4">
    <w:name w:val="Balloon Text"/>
    <w:basedOn w:val="1"/>
    <w:link w:val="17"/>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0"/>
    <w:pPr>
      <w:spacing w:before="0" w:beforeAutospacing="1" w:after="0" w:afterAutospacing="1"/>
      <w:ind w:left="0" w:right="0"/>
      <w:jc w:val="left"/>
    </w:pPr>
    <w:rPr>
      <w:kern w:val="0"/>
      <w:sz w:val="24"/>
      <w:lang w:val="en-US" w:eastAsia="zh-CN" w:bidi="ar-SA"/>
    </w:rPr>
  </w:style>
  <w:style w:type="character" w:styleId="9">
    <w:name w:val="annotation reference"/>
    <w:basedOn w:val="8"/>
    <w:unhideWhenUsed/>
    <w:uiPriority w:val="99"/>
    <w:rPr>
      <w:sz w:val="21"/>
      <w:szCs w:val="21"/>
    </w:rPr>
  </w:style>
  <w:style w:type="table" w:styleId="11">
    <w:name w:val="Table Grid"/>
    <w:basedOn w:val="10"/>
    <w:uiPriority w:val="59"/>
    <w:pPr/>
    <w:rPr>
      <w:rFonts w:eastAsia="宋体" w:cs="Times New Roman"/>
    </w:r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2">
    <w:name w:val="List Paragraph"/>
    <w:basedOn w:val="1"/>
    <w:qFormat/>
    <w:uiPriority w:val="34"/>
    <w:pPr>
      <w:ind w:firstLine="420" w:firstLineChars="200"/>
    </w:pPr>
  </w:style>
  <w:style w:type="character" w:customStyle="1" w:styleId="13">
    <w:name w:val="页眉字符"/>
    <w:basedOn w:val="8"/>
    <w:link w:val="6"/>
    <w:semiHidden/>
    <w:uiPriority w:val="99"/>
    <w:rPr>
      <w:sz w:val="18"/>
      <w:szCs w:val="18"/>
    </w:rPr>
  </w:style>
  <w:style w:type="character" w:customStyle="1" w:styleId="14">
    <w:name w:val="页脚字符"/>
    <w:basedOn w:val="8"/>
    <w:link w:val="5"/>
    <w:semiHidden/>
    <w:uiPriority w:val="99"/>
    <w:rPr>
      <w:sz w:val="18"/>
      <w:szCs w:val="18"/>
    </w:rPr>
  </w:style>
  <w:style w:type="character" w:customStyle="1" w:styleId="15">
    <w:name w:val="注释文本字符"/>
    <w:basedOn w:val="8"/>
    <w:link w:val="3"/>
    <w:uiPriority w:val="99"/>
    <w:rPr/>
  </w:style>
  <w:style w:type="character" w:customStyle="1" w:styleId="16">
    <w:name w:val="批注主题字符"/>
    <w:basedOn w:val="15"/>
    <w:link w:val="2"/>
    <w:semiHidden/>
    <w:uiPriority w:val="99"/>
    <w:rPr>
      <w:b/>
      <w:bCs/>
    </w:rPr>
  </w:style>
  <w:style w:type="character" w:customStyle="1" w:styleId="17">
    <w:name w:val="批注框文本字符"/>
    <w:basedOn w:val="8"/>
    <w:link w:val="4"/>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312</Words>
  <Characters>1783</Characters>
  <Lines>14</Lines>
  <Paragraphs>4</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2015-09-02T05:29:00Z</dcterms:created>
  <dc:creator>lanhai lan</dc:creator>
  <cp:lastModifiedBy>chinagps</cp:lastModifiedBy>
  <dcterms:modified xsi:type="dcterms:W3CDTF">2015-10-16T03:29:38Z</dcterms:modified>
  <dc:title>用户安全驾驶奖励服务三方协议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