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40"/>
        </w:rPr>
        <w:t>AI Sustainability Copilot: An LLM-Orchestrated Hybrid ML Framework for Personalized Carbon Footprint Estimation</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220"/>
        <w:gridCol w:w="5220"/>
      </w:tblGrid>
      <w:tr>
        <w:tc>
          <w:tcPr>
            <w:tcW w:type="dxa" w:w="5220"/>
          </w:tcPr>
          <w:p>
            <w:pPr>
              <w:jc w:val="center"/>
            </w:pPr>
            <w:r>
              <w:rPr>
                <w:rFonts w:ascii="Times New Roman" w:hAnsi="Times New Roman"/>
                <w:b/>
                <w:sz w:val="20"/>
              </w:rPr>
              <w:t>Ritika Kanwar</w:t>
            </w:r>
          </w:p>
          <w:p>
            <w:pPr>
              <w:jc w:val="center"/>
            </w:pPr>
            <w:r>
              <w:rPr>
                <w:rFonts w:ascii="Times New Roman" w:hAnsi="Times New Roman"/>
                <w:sz w:val="20"/>
              </w:rPr>
              <w:t>Dept. of SCORE-MCA</w:t>
            </w:r>
          </w:p>
          <w:p>
            <w:pPr>
              <w:jc w:val="center"/>
            </w:pPr>
            <w:r>
              <w:rPr>
                <w:rFonts w:ascii="Times New Roman" w:hAnsi="Times New Roman"/>
                <w:sz w:val="20"/>
              </w:rPr>
              <w:t>VIT University</w:t>
            </w:r>
          </w:p>
          <w:p>
            <w:pPr>
              <w:jc w:val="center"/>
            </w:pPr>
            <w:r>
              <w:rPr>
                <w:rFonts w:ascii="Times New Roman" w:hAnsi="Times New Roman"/>
                <w:sz w:val="20"/>
              </w:rPr>
              <w:t>Vellore, Tamil Nadu, India</w:t>
            </w:r>
          </w:p>
        </w:tc>
        <w:tc>
          <w:tcPr>
            <w:tcW w:type="dxa" w:w="5220"/>
          </w:tcPr>
          <w:p>
            <w:pPr>
              <w:jc w:val="center"/>
            </w:pPr>
            <w:r>
              <w:rPr>
                <w:rFonts w:ascii="Times New Roman" w:hAnsi="Times New Roman"/>
                <w:b/>
                <w:sz w:val="20"/>
              </w:rPr>
              <w:t>Anant Bhatnagar</w:t>
            </w:r>
          </w:p>
          <w:p>
            <w:pPr>
              <w:jc w:val="center"/>
            </w:pPr>
            <w:r>
              <w:rPr>
                <w:rFonts w:ascii="Times New Roman" w:hAnsi="Times New Roman"/>
                <w:sz w:val="20"/>
              </w:rPr>
              <w:t>Dept. of SCORE-MCA</w:t>
            </w:r>
          </w:p>
          <w:p>
            <w:pPr>
              <w:jc w:val="center"/>
            </w:pPr>
            <w:r>
              <w:rPr>
                <w:rFonts w:ascii="Times New Roman" w:hAnsi="Times New Roman"/>
                <w:sz w:val="20"/>
              </w:rPr>
              <w:t>VIT University</w:t>
            </w:r>
          </w:p>
          <w:p>
            <w:pPr>
              <w:jc w:val="center"/>
            </w:pPr>
            <w:r>
              <w:rPr>
                <w:rFonts w:ascii="Times New Roman" w:hAnsi="Times New Roman"/>
                <w:sz w:val="20"/>
              </w:rPr>
              <w:t>Vellore, Tamil Nadu, India</w:t>
            </w:r>
          </w:p>
        </w:tc>
      </w:tr>
    </w:tbl>
    <w:p>
      <w:pPr>
        <w:spacing w:after="120"/>
      </w:pPr>
    </w:p>
    <w:p>
      <w:pPr>
        <w:spacing w:after="120"/>
        <w:jc w:val="both"/>
      </w:pPr>
      <w:r>
        <w:rPr>
          <w:rFonts w:ascii="Times New Roman" w:hAnsi="Times New Roman"/>
          <w:b/>
          <w:i/>
          <w:sz w:val="18"/>
        </w:rPr>
        <w:t>Abstract—</w:t>
      </w:r>
      <w:r>
        <w:rPr>
          <w:rFonts w:ascii="Times New Roman" w:hAnsi="Times New Roman"/>
          <w:i/>
          <w:sz w:val="18"/>
        </w:rPr>
        <w:t>We present the AI Sustainability Copilot, a hybrid system combining a trained XGBoost regression model, an LLM-based natural-language extraction pipeline, and real-time electricity grid carbon-intensity data to deliver personalized carbon footprint estimates and explanations. Unlike static carbon calculators that use fixed emission factors regardless of a user's actual grid or that require structured form input, our system parses free-text lifestyle descriptions and routes them through a hybrid predictor: an XGBoost model (trained on 10,000 rows of a synthetically-generated benchmark dataset, R² = 0.83 on a held-out test set, R² = 0.8217 ± 0.0044 under 5-fold cross-validation) serves as the primary predictor when an input falls within the model's trained distribution, with a physically-grounded IPCC AR6 / Poore &amp; Nemecek (2018) emission-factor formula as the fallback otherwise. We report three empirical findings from rigorously evaluating this system against realistic inputs rather than only held-out rows from the training distribution. First, an earlier production formula that used the physical formula as primary and XGBoost as a bounded corrective adjustment scored R² = −73.8 (worse than predicting the mean) — the inverse arrangement is required for this dataset. Second, natural-language tool-call extraction reliability was measured at progressively improving rates — 92% initial failure, reduced to a 43% regression after a latency-driven pipeline rewrite, then 7.1%, then 0% in the latest evaluation run — through three distinct, separately diagnosed fixes. Third, and most significant: while XGBoost passes its numeric input-range gate on 29.8% of realistic synthetic queries, accounting for the categorical vocabulary the model actually saw during training (the raw dataset covers only 5 of 10 possible transport types, 4 of 13 food types, and 3 of 10 energy sources) drops the true safe usage rate to 0.8% — meaning the IPCC formula, not XGBoost, is the de facto primary predictor for this deployed system on realistic traffic. We report this and other limitations candidly, as part of the paper's central contribution: an evaluation methodology for hybrid ML–LLM systems that tests against realistic input distributions rather than only in-distribution held-out data.</w:t>
      </w:r>
    </w:p>
    <w:p>
      <w:pPr>
        <w:spacing w:after="200"/>
        <w:jc w:val="both"/>
      </w:pPr>
      <w:r>
        <w:rPr>
          <w:rFonts w:ascii="Times New Roman" w:hAnsi="Times New Roman"/>
          <w:b/>
          <w:i/>
          <w:sz w:val="18"/>
        </w:rPr>
        <w:t>Keywords—</w:t>
      </w:r>
      <w:r>
        <w:rPr>
          <w:rFonts w:ascii="Times New Roman" w:hAnsi="Times New Roman"/>
          <w:i/>
          <w:sz w:val="18"/>
        </w:rPr>
        <w:t>carbon footprint estimation, hybrid ML pipeline, LLM tool calling, XGBoost, out-of-distribution routing, real-time carbon intensity, IPCC emission factors, evaluation methodology</w:t>
      </w:r>
    </w:p>
    <w:p>
      <w:pPr>
        <w:sectPr>
          <w:pgSz w:w="12240" w:h="15840"/>
          <w:pgMar w:top="1080" w:right="900" w:bottom="1440" w:left="900" w:header="720" w:footer="720" w:gutter="0"/>
          <w:cols w:space="288" w:num="1"/>
          <w:docGrid w:linePitch="360"/>
        </w:sectPr>
      </w:pPr>
    </w:p>
    <w:p>
      <w:pPr>
        <w:spacing w:before="200" w:after="120"/>
        <w:jc w:val="center"/>
      </w:pPr>
      <w:r>
        <w:rPr>
          <w:rFonts w:ascii="Times New Roman" w:hAnsi="Times New Roman"/>
          <w:b/>
          <w:sz w:val="20"/>
        </w:rPr>
        <w:t>I. INTRODUCTION</w:t>
      </w:r>
    </w:p>
    <w:p>
      <w:pPr>
        <w:spacing w:after="120"/>
        <w:ind w:firstLine="288"/>
        <w:jc w:val="both"/>
      </w:pPr>
      <w:r>
        <w:rPr>
          <w:rFonts w:ascii="Times New Roman" w:hAnsi="Times New Roman"/>
          <w:i w:val="0"/>
          <w:sz w:val="20"/>
        </w:rPr>
        <w:t>Individual lifestyle choices — transportation, diet, and residential energy use — contribute materially to global greenhouse gas emissions, and the IPCC AR6 report identifies substantial per-capita emission reductions as necessary to meet the 1.5°C target [1]. Existing carbon footprint calculators have three recurring limitations: they use static, grid-agnostic emission factors; they give generic advice regardless of whether a user's footprint is already low or critically high; and they require structured form input rather than natural language.</w:t>
      </w:r>
    </w:p>
    <w:p>
      <w:pPr>
        <w:spacing w:after="120"/>
        <w:ind w:firstLine="288"/>
        <w:jc w:val="both"/>
      </w:pPr>
      <w:r>
        <w:rPr>
          <w:rFonts w:ascii="Times New Roman" w:hAnsi="Times New Roman"/>
          <w:i w:val="0"/>
          <w:sz w:val="20"/>
        </w:rPr>
        <w:t>This paper describes a system that addresses these three limitations, and — distinctly from most system papers in this space — reports what happened when we evaluated it against realistic inputs rather than only inputs resembling the training distribution. That evaluation surfaced two production bugs (one a full accuracy inversion, one a silent categorical mis-encoding bug) and one important, previously invisible fact about how rarely the trained ML model actually engages on realistic traffic. We consider the evaluation methodology and its results — not just the system design — to be this paper's primary contribution, since it generalizes to any hybrid ML+rule-based system deployed behind an LLM-driven natural-language interface.</w:t>
      </w:r>
    </w:p>
    <w:p>
      <w:pPr>
        <w:spacing w:after="120"/>
        <w:ind w:firstLine="288"/>
        <w:jc w:val="both"/>
      </w:pPr>
      <w:r>
        <w:rPr>
          <w:rFonts w:ascii="Times New Roman" w:hAnsi="Times New Roman"/>
          <w:i w:val="0"/>
          <w:sz w:val="20"/>
        </w:rPr>
        <w:t>Contributions:</w:t>
      </w:r>
    </w:p>
    <w:p>
      <w:pPr>
        <w:spacing w:after="80"/>
        <w:ind w:firstLine="144"/>
        <w:jc w:val="both"/>
      </w:pPr>
      <w:r>
        <w:rPr>
          <w:rFonts w:ascii="Times New Roman" w:hAnsi="Times New Roman"/>
          <w:i w:val="0"/>
          <w:sz w:val="20"/>
        </w:rPr>
        <w:t>• A hybrid carbon-prediction pipeline combining a trained XGBoost regressor, IPCC AR6 / Poore &amp; Nemecek (2018) physical emission factors, and live grid carbon-intensity data, with an explicit, measured account of when each component is actually used in practice.</w:t>
      </w:r>
    </w:p>
    <w:p>
      <w:pPr>
        <w:spacing w:after="80"/>
        <w:ind w:firstLine="144"/>
        <w:jc w:val="both"/>
      </w:pPr>
      <w:r>
        <w:rPr>
          <w:rFonts w:ascii="Times New Roman" w:hAnsi="Times New Roman"/>
          <w:i w:val="0"/>
          <w:sz w:val="20"/>
        </w:rPr>
        <w:t xml:space="preserve">• A natural-language extraction pipeline using Groq-hosted </w:t>
      </w:r>
      <w:r>
        <w:rPr>
          <w:rFonts w:ascii="Courier New" w:hAnsi="Courier New"/>
          <w:i w:val="0"/>
          <w:sz w:val="20"/>
        </w:rPr>
        <w:t>llama-3.1-8b-instant</w:t>
      </w:r>
      <w:r>
        <w:rPr>
          <w:rFonts w:ascii="Times New Roman" w:hAnsi="Times New Roman"/>
          <w:i w:val="0"/>
          <w:sz w:val="20"/>
        </w:rPr>
        <w:t xml:space="preserve">, redesigned from an initial multi-tool ReAct loop into a fixed two-call pipeline for latency and API rate-limit reasons, with three iteratively diagnosed fixes to tool-call reliability documented as a case study in what actually causes </w:t>
      </w:r>
      <w:r>
        <w:rPr>
          <w:rFonts w:ascii="Courier New" w:hAnsi="Courier New"/>
          <w:i w:val="0"/>
          <w:sz w:val="20"/>
        </w:rPr>
        <w:t>tool_use_failed</w:t>
      </w:r>
      <w:r>
        <w:rPr>
          <w:rFonts w:ascii="Times New Roman" w:hAnsi="Times New Roman"/>
          <w:i w:val="0"/>
          <w:sz w:val="20"/>
        </w:rPr>
        <w:t xml:space="preserve"> errors.</w:t>
      </w:r>
    </w:p>
    <w:p>
      <w:pPr>
        <w:spacing w:after="80"/>
        <w:ind w:firstLine="144"/>
        <w:jc w:val="both"/>
      </w:pPr>
      <w:r>
        <w:rPr>
          <w:rFonts w:ascii="Times New Roman" w:hAnsi="Times New Roman"/>
          <w:i w:val="0"/>
          <w:sz w:val="20"/>
        </w:rPr>
        <w:t>• An evaluation methodology — sampling realistic scenarios rather than held-out training rows — that finds a hybrid system's ML component may engage far less often than its held-out benchmark numbers suggest, and a demonstration of this on our own system (29.8% → 0.8% true engagement rate once categorical vocabulary coverage is accounted for).</w:t>
      </w:r>
    </w:p>
    <w:p>
      <w:pPr>
        <w:spacing w:after="80"/>
        <w:ind w:firstLine="144"/>
        <w:jc w:val="both"/>
      </w:pPr>
      <w:r>
        <w:rPr>
          <w:rFonts w:ascii="Times New Roman" w:hAnsi="Times New Roman"/>
          <w:i w:val="0"/>
          <w:sz w:val="20"/>
        </w:rPr>
        <w:t>• An honest accounting of the training dataset's synthetic provenance and its implications for interpreting the reported R².</w:t>
      </w:r>
    </w:p>
    <w:p>
      <w:pPr>
        <w:spacing w:before="200" w:after="120"/>
        <w:jc w:val="center"/>
      </w:pPr>
      <w:r>
        <w:rPr>
          <w:rFonts w:ascii="Times New Roman" w:hAnsi="Times New Roman"/>
          <w:b/>
          <w:sz w:val="20"/>
        </w:rPr>
        <w:t>II. RELATED WORK</w:t>
      </w:r>
    </w:p>
    <w:p>
      <w:pPr>
        <w:spacing w:before="120" w:after="60"/>
      </w:pPr>
      <w:r>
        <w:rPr>
          <w:rFonts w:ascii="Times New Roman" w:hAnsi="Times New Roman"/>
          <w:i/>
          <w:sz w:val="20"/>
        </w:rPr>
        <w:t>A. Carbon Footprint Calculators</w:t>
      </w:r>
    </w:p>
    <w:p>
      <w:pPr>
        <w:spacing w:after="120"/>
        <w:ind w:firstLine="288"/>
        <w:jc w:val="both"/>
      </w:pPr>
      <w:r>
        <w:rPr>
          <w:rFonts w:ascii="Times New Roman" w:hAnsi="Times New Roman"/>
          <w:i w:val="0"/>
          <w:sz w:val="20"/>
        </w:rPr>
        <w:t>Static calculators such as the U.S. EPA's Household Carbon Footprint Calculator [2] use fixed national-average emission factors and do not adapt to a user's actual grid mix or personalize suggestions to how far above or below average a user is. Wiedmann and Minx [3] formalize the carbon-footprint concept and note that consumption-based accounting is frequently omitted from simplified calculators.</w:t>
      </w:r>
    </w:p>
    <w:p>
      <w:pPr>
        <w:spacing w:before="120" w:after="60"/>
      </w:pPr>
      <w:r>
        <w:rPr>
          <w:rFonts w:ascii="Times New Roman" w:hAnsi="Times New Roman"/>
          <w:i/>
          <w:sz w:val="20"/>
        </w:rPr>
        <w:t>B. Emission Factor Sources</w:t>
      </w:r>
    </w:p>
    <w:p>
      <w:pPr>
        <w:spacing w:after="120"/>
        <w:ind w:firstLine="288"/>
        <w:jc w:val="both"/>
      </w:pPr>
      <w:r>
        <w:rPr>
          <w:rFonts w:ascii="Times New Roman" w:hAnsi="Times New Roman"/>
          <w:i w:val="0"/>
          <w:sz w:val="20"/>
        </w:rPr>
        <w:t>We adopt IPCC AR6 Working Group III transport emission factors [1] and the Poore and Nemecek (2018) food lifecycle emission factors [4], derived from lifecycle analysis across 38,700 farms in 119 countries, directly in our formula-based fallback layer.</w:t>
      </w:r>
    </w:p>
    <w:p>
      <w:pPr>
        <w:spacing w:before="120" w:after="60"/>
      </w:pPr>
      <w:r>
        <w:rPr>
          <w:rFonts w:ascii="Times New Roman" w:hAnsi="Times New Roman"/>
          <w:i/>
          <w:sz w:val="20"/>
        </w:rPr>
        <w:t>C. Agentic AI and LLM Tool Use</w:t>
      </w:r>
    </w:p>
    <w:p>
      <w:pPr>
        <w:spacing w:after="120"/>
        <w:ind w:firstLine="288"/>
        <w:jc w:val="both"/>
      </w:pPr>
      <w:r>
        <w:rPr>
          <w:rFonts w:ascii="Times New Roman" w:hAnsi="Times New Roman"/>
          <w:i w:val="0"/>
          <w:sz w:val="20"/>
        </w:rPr>
        <w:t>Tool-calling LLMs and agent orchestration frameworks such as LangGraph [5] enable autonomous multi-step retrieval and reasoning. Yao et al. [6] show ReAct-style agents outperform single-prompt LLMs on tasks requiring iterative external tool use. We initially adopted this paradigm and later replaced it with a fixed two-call pipeline once profiling showed the autonomous multi-step loop was unnecessary overhead for a workflow whose tool sequence is, in practice, deterministic once the primary extraction is done (Section III-C) — a design tradeoff we report as a finding, not just an implementation detail.</w:t>
      </w:r>
    </w:p>
    <w:p>
      <w:pPr>
        <w:spacing w:before="120" w:after="60"/>
      </w:pPr>
      <w:r>
        <w:rPr>
          <w:rFonts w:ascii="Times New Roman" w:hAnsi="Times New Roman"/>
          <w:i/>
          <w:sz w:val="20"/>
        </w:rPr>
        <w:t>D. Real-Time Carbon Intensity</w:t>
      </w:r>
    </w:p>
    <w:p>
      <w:pPr>
        <w:spacing w:after="120"/>
        <w:ind w:firstLine="288"/>
        <w:jc w:val="both"/>
      </w:pPr>
      <w:r>
        <w:rPr>
          <w:rFonts w:ascii="Times New Roman" w:hAnsi="Times New Roman"/>
          <w:i w:val="0"/>
          <w:sz w:val="20"/>
        </w:rPr>
        <w:t>Electricity Maps [7] provides live carbon intensity data for grid zones worldwide; using live rather than static annual-average intensity is a natural refinement for any energy-emission estimate, though we note in Section V that we can only characterize the magnitude of this correction's effect on our held-out test set, not its accuracy, since no ground-truth live-intensity value exists for historical rows (Section V-B).</w:t>
      </w:r>
    </w:p>
    <w:p>
      <w:pPr>
        <w:spacing w:before="200" w:after="120"/>
        <w:jc w:val="center"/>
      </w:pPr>
      <w:r>
        <w:rPr>
          <w:rFonts w:ascii="Times New Roman" w:hAnsi="Times New Roman"/>
          <w:b/>
          <w:sz w:val="20"/>
        </w:rPr>
        <w:t>III. SYSTEM ARCHITECTURE</w:t>
      </w:r>
    </w:p>
    <w:p>
      <w:pPr>
        <w:spacing w:before="120" w:after="60"/>
      </w:pPr>
      <w:r>
        <w:rPr>
          <w:rFonts w:ascii="Times New Roman" w:hAnsi="Times New Roman"/>
          <w:i/>
          <w:sz w:val="20"/>
        </w:rPr>
        <w:t>A. Data</w:t>
      </w:r>
    </w:p>
    <w:p>
      <w:pPr>
        <w:spacing w:after="120"/>
        <w:ind w:firstLine="288"/>
        <w:jc w:val="both"/>
      </w:pPr>
      <w:r>
        <w:rPr>
          <w:rFonts w:ascii="Times New Roman" w:hAnsi="Times New Roman"/>
          <w:i w:val="0"/>
          <w:sz w:val="20"/>
        </w:rPr>
        <w:t xml:space="preserve">The system's ML component is trained on the “Individual Carbon Footprint Calculation” dataset (M. Duman et al., Kaggle, CC0) [8], 10,000 rows mapping lifestyle attributes to an annual CO₂ figure. </w:t>
      </w:r>
      <w:r>
        <w:rPr>
          <w:rFonts w:ascii="Times New Roman" w:hAnsi="Times New Roman"/>
          <w:b/>
          <w:i w:val="0"/>
          <w:sz w:val="20"/>
        </w:rPr>
        <w:t>This dataset is synthetically generated</w:t>
      </w:r>
      <w:r>
        <w:rPr>
          <w:rFonts w:ascii="Times New Roman" w:hAnsi="Times New Roman"/>
          <w:i w:val="0"/>
          <w:sz w:val="20"/>
        </w:rPr>
        <w:t>: its own listing states the target variable is “calculated based on weightings from various studies and sites... attempting to maintain values close to reality,” not measured from real households. We state this plainly because it changes what the reported R² means — see Section V-A and Section VI. Food emission factors come from Poore and Nemecek (2018) [4]; regional per-capita baselines come from Our World in Data, covering 231 countries [9].</w:t>
      </w:r>
    </w:p>
    <w:p>
      <w:pPr>
        <w:spacing w:before="120" w:after="60"/>
      </w:pPr>
      <w:r>
        <w:rPr>
          <w:rFonts w:ascii="Times New Roman" w:hAnsi="Times New Roman"/>
          <w:i/>
          <w:sz w:val="20"/>
        </w:rPr>
        <w:t>B. Hybrid Prediction Pipeline</w:t>
      </w:r>
    </w:p>
    <w:p>
      <w:pPr>
        <w:spacing w:after="120"/>
        <w:ind w:firstLine="288"/>
        <w:jc w:val="both"/>
      </w:pPr>
      <w:r>
        <w:rPr>
          <w:rFonts w:ascii="Courier New" w:hAnsi="Courier New"/>
          <w:i w:val="0"/>
          <w:sz w:val="20"/>
        </w:rPr>
        <w:t>predict_footprint</w:t>
      </w:r>
      <w:r>
        <w:rPr>
          <w:rFonts w:ascii="Times New Roman" w:hAnsi="Times New Roman"/>
          <w:i w:val="0"/>
          <w:sz w:val="20"/>
        </w:rPr>
        <w:t xml:space="preserve"> computes two independent estimates and selects between them via a gate, rather than blending them:</w:t>
      </w:r>
    </w:p>
    <w:p>
      <w:pPr>
        <w:spacing w:after="80"/>
        <w:ind w:firstLine="288"/>
        <w:jc w:val="both"/>
      </w:pPr>
      <w:r>
        <w:rPr>
          <w:rFonts w:ascii="Times New Roman" w:hAnsi="Times New Roman"/>
          <w:i w:val="0"/>
          <w:sz w:val="20"/>
        </w:rPr>
        <w:t>1) IPCC formula estimate. E_ipcc = km·EF_t·30 + kg_food·EF_f·30 + kWh·EF_g(I_live)·30 + flight_km/12·EF_flight + E_waste + E_clothing, where EF_g uses live grid carbon intensity I_live (Electricity Maps, falling back to a static per-source baseline when the live API is unavailable).</w:t>
      </w:r>
    </w:p>
    <w:p>
      <w:pPr>
        <w:spacing w:after="120"/>
        <w:ind w:firstLine="288"/>
        <w:jc w:val="both"/>
      </w:pPr>
      <w:r>
        <w:rPr>
          <w:rFonts w:ascii="Times New Roman" w:hAnsi="Times New Roman"/>
          <w:i w:val="0"/>
          <w:sz w:val="20"/>
        </w:rPr>
        <w:t>2) XGBoost estimate, when the input passes an in-distribution gate (Section III-D): E_final = E_ml + kWh·30·((I_live − I_base)/1000), i.e. the trained model's prediction, additively corrected for the delta between live and training-time grid intensity on the energy component only.</w:t>
      </w:r>
    </w:p>
    <w:p>
      <w:pPr>
        <w:spacing w:after="120"/>
        <w:ind w:firstLine="288"/>
        <w:jc w:val="both"/>
      </w:pPr>
      <w:r>
        <w:rPr>
          <w:rFonts w:ascii="Times New Roman" w:hAnsi="Times New Roman"/>
          <w:i w:val="0"/>
          <w:sz w:val="20"/>
        </w:rPr>
        <w:t xml:space="preserve">If the gate passes, E_final (path 2) is returned as the primary estimate; otherwise E_ipcc (path 1, already live-grid-corrected) is returned. This is the </w:t>
      </w:r>
      <w:r>
        <w:rPr>
          <w:rFonts w:ascii="Times New Roman" w:hAnsi="Times New Roman"/>
          <w:i/>
          <w:sz w:val="20"/>
        </w:rPr>
        <w:t>opposite</w:t>
      </w:r>
      <w:r>
        <w:rPr>
          <w:rFonts w:ascii="Times New Roman" w:hAnsi="Times New Roman"/>
          <w:i w:val="0"/>
          <w:sz w:val="20"/>
        </w:rPr>
        <w:t xml:space="preserve"> arrangement from an earlier production version, which used the IPCC formula as primary with XGBoost as a bounded ±15% adjustment — that version scored R² = −73.8 against the held-out test set (Section V-A), because the physical formula alone overestimates this dataset's target by roughly 2.5–3×. We report this inversion explicitly because it is easy to get backwards, and got backwards once already in this project.</w:t>
      </w:r>
    </w:p>
    <w:p>
      <w:pPr>
        <w:spacing w:before="120" w:after="60"/>
      </w:pPr>
      <w:r>
        <w:rPr>
          <w:rFonts w:ascii="Times New Roman" w:hAnsi="Times New Roman"/>
          <w:i/>
          <w:sz w:val="20"/>
        </w:rPr>
        <w:t>C. LLM Orchestration Layer</w:t>
      </w:r>
    </w:p>
    <w:p>
      <w:pPr>
        <w:spacing w:after="120"/>
        <w:ind w:firstLine="288"/>
        <w:jc w:val="both"/>
      </w:pPr>
      <w:r>
        <w:rPr>
          <w:rFonts w:ascii="Times New Roman" w:hAnsi="Times New Roman"/>
          <w:i w:val="0"/>
          <w:sz w:val="20"/>
        </w:rPr>
        <w:t xml:space="preserve">Extraction and response generation use two sequential calls to </w:t>
      </w:r>
      <w:r>
        <w:rPr>
          <w:rFonts w:ascii="Courier New" w:hAnsi="Courier New"/>
          <w:i w:val="0"/>
          <w:sz w:val="20"/>
        </w:rPr>
        <w:t>llama-3.1-8b-instant</w:t>
      </w:r>
      <w:r>
        <w:rPr>
          <w:rFonts w:ascii="Times New Roman" w:hAnsi="Times New Roman"/>
          <w:i w:val="0"/>
          <w:sz w:val="20"/>
        </w:rPr>
        <w:t xml:space="preserve"> via the Groq API, not an autonomous multi-step agent loop. Call 1 (temperature 0) extracts atomic lifestyle facts from the user's message and invokes </w:t>
      </w:r>
      <w:r>
        <w:rPr>
          <w:rFonts w:ascii="Courier New" w:hAnsi="Courier New"/>
          <w:i w:val="0"/>
          <w:sz w:val="20"/>
        </w:rPr>
        <w:t>predict_footprint</w:t>
      </w:r>
      <w:r>
        <w:rPr>
          <w:rFonts w:ascii="Times New Roman" w:hAnsi="Times New Roman"/>
          <w:i w:val="0"/>
          <w:sz w:val="20"/>
        </w:rPr>
        <w:t xml:space="preserve">; call 2 (temperature 0.2) synthesizes a natural-language response from the already-computed numeric results. Three further tools — </w:t>
      </w:r>
      <w:r>
        <w:rPr>
          <w:rFonts w:ascii="Courier New" w:hAnsi="Courier New"/>
          <w:i w:val="0"/>
          <w:sz w:val="20"/>
        </w:rPr>
        <w:t>get_live_carbon_intensity</w:t>
      </w:r>
      <w:r>
        <w:rPr>
          <w:rFonts w:ascii="Times New Roman" w:hAnsi="Times New Roman"/>
          <w:i w:val="0"/>
          <w:sz w:val="20"/>
        </w:rPr>
        <w:t xml:space="preserve">, </w:t>
      </w:r>
      <w:r>
        <w:rPr>
          <w:rFonts w:ascii="Courier New" w:hAnsi="Courier New"/>
          <w:i w:val="0"/>
          <w:sz w:val="20"/>
        </w:rPr>
        <w:t>compare_transport_scenarios</w:t>
      </w:r>
      <w:r>
        <w:rPr>
          <w:rFonts w:ascii="Times New Roman" w:hAnsi="Times New Roman"/>
          <w:i w:val="0"/>
          <w:sz w:val="20"/>
        </w:rPr>
        <w:t xml:space="preserve">, and </w:t>
      </w:r>
      <w:r>
        <w:rPr>
          <w:rFonts w:ascii="Courier New" w:hAnsi="Courier New"/>
          <w:i w:val="0"/>
          <w:sz w:val="20"/>
        </w:rPr>
        <w:t>get_regional_baseline</w:t>
      </w:r>
      <w:r>
        <w:rPr>
          <w:rFonts w:ascii="Times New Roman" w:hAnsi="Times New Roman"/>
          <w:i w:val="0"/>
          <w:sz w:val="20"/>
        </w:rPr>
        <w:t xml:space="preserve"> — are invoked deterministically in code once the prediction's inputs are known, rather than left to the LLM's own tool-choice reasoning, since their arguments require no further judgment. This design was adopted after an initial version using a four-tool ReAct loop (up to ~8 LLM calls in the worst case, including a keyword-heuristic rerun) repeatedly exhausted this project's Groq API tier (6,000 tokens/minute), producing retry-backoff delays of 20–35+ seconds per request; the fixed pipeline both removes that overhead and makes tool sequencing deterministic and auditable.</w:t>
      </w:r>
    </w:p>
    <w:p>
      <w:pPr>
        <w:spacing w:before="120" w:after="60"/>
      </w:pPr>
      <w:r>
        <w:rPr>
          <w:rFonts w:ascii="Times New Roman" w:hAnsi="Times New Roman"/>
          <w:i/>
          <w:sz w:val="20"/>
        </w:rPr>
        <w:t>D. In-Distribution Routing Gate</w:t>
      </w:r>
    </w:p>
    <w:p>
      <w:pPr>
        <w:spacing w:after="120"/>
        <w:ind w:firstLine="288"/>
        <w:jc w:val="both"/>
      </w:pPr>
      <w:r>
        <w:rPr>
          <w:rFonts w:ascii="Times New Roman" w:hAnsi="Times New Roman"/>
          <w:i w:val="0"/>
          <w:sz w:val="20"/>
        </w:rPr>
        <w:t>XGBoost is only used when the input is judged in-distribution, via two checks: (1) each of five numeric features (km_per_day, kg_food_per_day, kwh_per_day, flights_per_year, flight_km_total) must fall within the range observed in the training data; (2) each of three categorical fields (transport_type, food_type, energy_source) must be a category the training data actually contained. Section V-C reports how often each check passes on realistic input, and why check (2) — absent in an earlier version of this system — mattered far more than check (1) alone suggested.</w:t>
      </w:r>
    </w:p>
    <w:p>
      <w:pPr>
        <w:spacing w:before="120" w:after="60"/>
      </w:pPr>
      <w:r>
        <w:rPr>
          <w:rFonts w:ascii="Times New Roman" w:hAnsi="Times New Roman"/>
          <w:i/>
          <w:sz w:val="20"/>
        </w:rPr>
        <w:t>E. Frontend and API</w:t>
      </w:r>
    </w:p>
    <w:p>
      <w:pPr>
        <w:spacing w:after="120"/>
        <w:ind w:firstLine="288"/>
        <w:jc w:val="both"/>
      </w:pPr>
      <w:r>
        <w:rPr>
          <w:rFonts w:ascii="Times New Roman" w:hAnsi="Times New Roman"/>
          <w:i w:val="0"/>
          <w:sz w:val="20"/>
        </w:rPr>
        <w:t>A FastAPI backend exposes /chat (conversational, session-aware, returns the full tool-call trace), /predict (structured input), and /health. The React frontend provides a chat interface with a live emissions breakdown (donut chart via Recharts), a tool-call trace panel, and a footprint-threshold badge. Session history is held in an in-memory store, a known scalability limitation for multi-instance deployment.</w:t>
      </w:r>
    </w:p>
    <w:p>
      <w:pPr>
        <w:spacing w:before="120" w:after="60"/>
      </w:pPr>
      <w:r>
        <w:rPr>
          <w:rFonts w:ascii="Times New Roman" w:hAnsi="Times New Roman"/>
          <w:i/>
          <w:sz w:val="20"/>
        </w:rPr>
        <w:t>F. Threshold Mechanism</w:t>
      </w:r>
    </w:p>
    <w:p>
      <w:pPr>
        <w:spacing w:after="120"/>
        <w:ind w:firstLine="288"/>
        <w:jc w:val="both"/>
      </w:pPr>
      <w:r>
        <w:rPr>
          <w:rFonts w:ascii="Times New Roman" w:hAnsi="Times New Roman"/>
          <w:i w:val="0"/>
          <w:sz w:val="20"/>
        </w:rPr>
        <w:t>Suggestion tone is controlled by the actual computed footprint, not a fixed script: below 200 kg CO₂/month triggers congratulatory framing with no reduction suggestions; 200–375 kg/month triggers 1–2 gentle suggestions targeting the largest emission category; 375–600 kg/month triggers full actionable suggestions across categories; above 600 kg/month triggers urgent, prioritized guidance. This directly conditions the LLM's synthesis prompt rather than being inferred from the generated text, avoiding a keyword-matching mismatch between stated tone and actual number.</w:t>
      </w:r>
    </w:p>
    <w:p>
      <w:pPr>
        <w:spacing w:before="200" w:after="120"/>
        <w:jc w:val="center"/>
      </w:pPr>
      <w:r>
        <w:rPr>
          <w:rFonts w:ascii="Times New Roman" w:hAnsi="Times New Roman"/>
          <w:b/>
          <w:sz w:val="20"/>
        </w:rPr>
        <w:t>IV. METHODOLOGY</w:t>
      </w:r>
    </w:p>
    <w:p>
      <w:pPr>
        <w:spacing w:before="120" w:after="60"/>
      </w:pPr>
      <w:r>
        <w:rPr>
          <w:rFonts w:ascii="Times New Roman" w:hAnsi="Times New Roman"/>
          <w:i/>
          <w:sz w:val="20"/>
        </w:rPr>
        <w:t>A. Model Training</w:t>
      </w:r>
    </w:p>
    <w:p>
      <w:pPr>
        <w:spacing w:after="120"/>
        <w:ind w:firstLine="288"/>
        <w:jc w:val="both"/>
      </w:pPr>
      <w:r>
        <w:rPr>
          <w:rFonts w:ascii="Times New Roman" w:hAnsi="Times New Roman"/>
          <w:i w:val="0"/>
          <w:sz w:val="20"/>
        </w:rPr>
        <w:t>The XGBoost regressor (600 estimators, max depth 6, learning rate 0.04, subsample 0.85, column subsample 0.85, min child weight 3, early stopping on a held-out validation set) is trained on an 80/20 split (8,000/2,000 rows, random_state=42) of the dataset described in Section III-A. Categorical features are label-encoded; numeric features are standardized.</w:t>
      </w:r>
    </w:p>
    <w:p>
      <w:pPr>
        <w:spacing w:before="120" w:after="60"/>
      </w:pPr>
      <w:r>
        <w:rPr>
          <w:rFonts w:ascii="Times New Roman" w:hAnsi="Times New Roman"/>
          <w:i/>
          <w:sz w:val="20"/>
        </w:rPr>
        <w:t>B. Evaluation Suite</w:t>
      </w:r>
    </w:p>
    <w:p>
      <w:pPr>
        <w:spacing w:after="120"/>
        <w:ind w:firstLine="288"/>
        <w:jc w:val="both"/>
      </w:pPr>
      <w:r>
        <w:rPr>
          <w:rFonts w:ascii="Times New Roman" w:hAnsi="Times New Roman"/>
          <w:i w:val="0"/>
          <w:sz w:val="20"/>
        </w:rPr>
        <w:t>Three evaluation scripts, all included in the project repository and re-runnable, back every number reported in Section V: evaluate_ablation.py — accuracy of each pipeline configuration on the held-out test set, plus 5-fold cross-validation and a bootstrap confidence interval. evaluate_agent.py — 14 hand-authored natural-language test cases scored against the live Groq API for per-field extraction accuracy and tool-call reliability (non-deterministic; re-run before citing). evaluate_routing.py — 3,000 randomly-sampled realistic scenarios (not training rows) scored against the routing gate, measuring how often the ML path is actually used and how much it disagrees with the formula fallback when both are computable.</w:t>
      </w:r>
    </w:p>
    <w:p>
      <w:pPr>
        <w:spacing w:before="200" w:after="120"/>
        <w:jc w:val="center"/>
      </w:pPr>
      <w:r>
        <w:rPr>
          <w:rFonts w:ascii="Times New Roman" w:hAnsi="Times New Roman"/>
          <w:b/>
          <w:sz w:val="20"/>
        </w:rPr>
        <w:t>V. RESULTS AND DISCUSSION</w:t>
      </w:r>
    </w:p>
    <w:p>
      <w:pPr>
        <w:spacing w:before="120" w:after="60"/>
      </w:pPr>
      <w:r>
        <w:rPr>
          <w:rFonts w:ascii="Times New Roman" w:hAnsi="Times New Roman"/>
          <w:i/>
          <w:sz w:val="20"/>
        </w:rPr>
        <w:t>A. Prediction Accuracy</w:t>
      </w:r>
    </w:p>
    <w:tbl>
      <w:tblPr>
        <w:tblStyle w:val="TableGrid"/>
        <w:tblW w:type="auto" w:w="0"/>
        <w:tblLook w:firstColumn="1" w:firstRow="1" w:lastColumn="0" w:lastRow="0" w:noHBand="0" w:noVBand="1" w:val="04A0"/>
      </w:tblPr>
      <w:tblGrid>
        <w:gridCol w:w="3480"/>
        <w:gridCol w:w="3480"/>
        <w:gridCol w:w="3480"/>
      </w:tblGrid>
      <w:tr>
        <w:tc>
          <w:tcPr>
            <w:tcW w:type="dxa" w:w="2304"/>
          </w:tcPr>
          <w:p>
            <w:pPr>
              <w:jc w:val="center"/>
            </w:pPr>
            <w:r/>
            <w:r>
              <w:rPr>
                <w:rFonts w:ascii="Times New Roman" w:hAnsi="Times New Roman"/>
                <w:b/>
                <w:sz w:val="16"/>
              </w:rPr>
              <w:t>Model</w:t>
            </w:r>
          </w:p>
        </w:tc>
        <w:tc>
          <w:tcPr>
            <w:tcW w:type="dxa" w:w="1440"/>
          </w:tcPr>
          <w:p>
            <w:pPr>
              <w:jc w:val="center"/>
            </w:pPr>
            <w:r/>
            <w:r>
              <w:rPr>
                <w:rFonts w:ascii="Times New Roman" w:hAnsi="Times New Roman"/>
                <w:b/>
                <w:sz w:val="16"/>
              </w:rPr>
              <w:t>MAE (kg CO₂/mo)</w:t>
            </w:r>
          </w:p>
        </w:tc>
        <w:tc>
          <w:tcPr>
            <w:tcW w:type="dxa" w:w="1440"/>
          </w:tcPr>
          <w:p>
            <w:pPr>
              <w:jc w:val="center"/>
            </w:pPr>
            <w:r/>
            <w:r>
              <w:rPr>
                <w:rFonts w:ascii="Times New Roman" w:hAnsi="Times New Roman"/>
                <w:b/>
                <w:sz w:val="16"/>
              </w:rPr>
              <w:t>R²</w:t>
            </w:r>
          </w:p>
        </w:tc>
      </w:tr>
      <w:tr>
        <w:tc>
          <w:tcPr>
            <w:tcW w:type="dxa" w:w="2304"/>
          </w:tcPr>
          <w:p>
            <w:pPr>
              <w:jc w:val="center"/>
            </w:pPr>
            <w:r/>
            <w:r>
              <w:rPr>
                <w:rFonts w:ascii="Times New Roman" w:hAnsi="Times New Roman"/>
                <w:i w:val="0"/>
                <w:sz w:val="16"/>
              </w:rPr>
              <w:t>Mean baseline (sanity check)</w:t>
            </w:r>
          </w:p>
        </w:tc>
        <w:tc>
          <w:tcPr>
            <w:tcW w:type="dxa" w:w="1440"/>
          </w:tcPr>
          <w:p>
            <w:pPr>
              <w:jc w:val="center"/>
            </w:pPr>
            <w:r/>
            <w:r>
              <w:rPr>
                <w:rFonts w:ascii="Times New Roman" w:hAnsi="Times New Roman"/>
                <w:i w:val="0"/>
                <w:sz w:val="16"/>
              </w:rPr>
              <w:t>65.16</w:t>
            </w:r>
          </w:p>
        </w:tc>
        <w:tc>
          <w:tcPr>
            <w:tcW w:type="dxa" w:w="1440"/>
          </w:tcPr>
          <w:p>
            <w:pPr>
              <w:jc w:val="center"/>
            </w:pPr>
            <w:r/>
            <w:r>
              <w:rPr>
                <w:rFonts w:ascii="Times New Roman" w:hAnsi="Times New Roman"/>
                <w:i w:val="0"/>
                <w:sz w:val="16"/>
              </w:rPr>
              <w:t>0.00</w:t>
            </w:r>
          </w:p>
        </w:tc>
      </w:tr>
      <w:tr>
        <w:tc>
          <w:tcPr>
            <w:tcW w:type="dxa" w:w="2304"/>
          </w:tcPr>
          <w:p>
            <w:pPr>
              <w:jc w:val="center"/>
            </w:pPr>
            <w:r/>
            <w:r>
              <w:rPr>
                <w:rFonts w:ascii="Times New Roman" w:hAnsi="Times New Roman"/>
                <w:i w:val="0"/>
                <w:sz w:val="16"/>
              </w:rPr>
              <w:t>IPCC formula only</w:t>
            </w:r>
          </w:p>
        </w:tc>
        <w:tc>
          <w:tcPr>
            <w:tcW w:type="dxa" w:w="1440"/>
          </w:tcPr>
          <w:p>
            <w:pPr>
              <w:jc w:val="center"/>
            </w:pPr>
            <w:r/>
            <w:r>
              <w:rPr>
                <w:rFonts w:ascii="Times New Roman" w:hAnsi="Times New Roman"/>
                <w:i w:val="0"/>
                <w:sz w:val="16"/>
              </w:rPr>
              <w:t>454.73</w:t>
            </w:r>
          </w:p>
        </w:tc>
        <w:tc>
          <w:tcPr>
            <w:tcW w:type="dxa" w:w="1440"/>
          </w:tcPr>
          <w:p>
            <w:pPr>
              <w:jc w:val="center"/>
            </w:pPr>
            <w:r/>
            <w:r>
              <w:rPr>
                <w:rFonts w:ascii="Times New Roman" w:hAnsi="Times New Roman"/>
                <w:i w:val="0"/>
                <w:sz w:val="16"/>
              </w:rPr>
              <w:t>−56.02</w:t>
            </w:r>
          </w:p>
        </w:tc>
      </w:tr>
      <w:tr>
        <w:tc>
          <w:tcPr>
            <w:tcW w:type="dxa" w:w="2304"/>
          </w:tcPr>
          <w:p>
            <w:pPr>
              <w:jc w:val="center"/>
            </w:pPr>
            <w:r/>
            <w:r>
              <w:rPr>
                <w:rFonts w:ascii="Times New Roman" w:hAnsi="Times New Roman"/>
                <w:i w:val="0"/>
                <w:sz w:val="16"/>
              </w:rPr>
              <w:t>RandomForest</w:t>
            </w:r>
          </w:p>
        </w:tc>
        <w:tc>
          <w:tcPr>
            <w:tcW w:type="dxa" w:w="1440"/>
          </w:tcPr>
          <w:p>
            <w:pPr>
              <w:jc w:val="center"/>
            </w:pPr>
            <w:r/>
            <w:r>
              <w:rPr>
                <w:rFonts w:ascii="Times New Roman" w:hAnsi="Times New Roman"/>
                <w:i w:val="0"/>
                <w:sz w:val="16"/>
              </w:rPr>
              <w:t>27.47</w:t>
            </w:r>
          </w:p>
        </w:tc>
        <w:tc>
          <w:tcPr>
            <w:tcW w:type="dxa" w:w="1440"/>
          </w:tcPr>
          <w:p>
            <w:pPr>
              <w:jc w:val="center"/>
            </w:pPr>
            <w:r/>
            <w:r>
              <w:rPr>
                <w:rFonts w:ascii="Times New Roman" w:hAnsi="Times New Roman"/>
                <w:i w:val="0"/>
                <w:sz w:val="16"/>
              </w:rPr>
              <w:t>0.80</w:t>
            </w:r>
          </w:p>
        </w:tc>
      </w:tr>
      <w:tr>
        <w:tc>
          <w:tcPr>
            <w:tcW w:type="dxa" w:w="2304"/>
          </w:tcPr>
          <w:p>
            <w:pPr>
              <w:jc w:val="center"/>
            </w:pPr>
            <w:r/>
            <w:r>
              <w:rPr>
                <w:rFonts w:ascii="Times New Roman" w:hAnsi="Times New Roman"/>
                <w:i w:val="0"/>
                <w:sz w:val="16"/>
              </w:rPr>
              <w:t>XGBoost (deployed primary)</w:t>
            </w:r>
          </w:p>
        </w:tc>
        <w:tc>
          <w:tcPr>
            <w:tcW w:type="dxa" w:w="1440"/>
          </w:tcPr>
          <w:p>
            <w:pPr>
              <w:jc w:val="center"/>
            </w:pPr>
            <w:r/>
            <w:r>
              <w:rPr>
                <w:rFonts w:ascii="Times New Roman" w:hAnsi="Times New Roman"/>
                <w:i w:val="0"/>
                <w:sz w:val="16"/>
              </w:rPr>
              <w:t>25.30</w:t>
            </w:r>
          </w:p>
        </w:tc>
        <w:tc>
          <w:tcPr>
            <w:tcW w:type="dxa" w:w="1440"/>
          </w:tcPr>
          <w:p>
            <w:pPr>
              <w:jc w:val="center"/>
            </w:pPr>
            <w:r/>
            <w:r>
              <w:rPr>
                <w:rFonts w:ascii="Times New Roman" w:hAnsi="Times New Roman"/>
                <w:i w:val="0"/>
                <w:sz w:val="16"/>
              </w:rPr>
              <w:t>0.83 [0.81, 0.84]</w:t>
            </w:r>
          </w:p>
        </w:tc>
      </w:tr>
      <w:tr>
        <w:tc>
          <w:tcPr>
            <w:tcW w:type="dxa" w:w="2304"/>
          </w:tcPr>
          <w:p>
            <w:pPr>
              <w:jc w:val="center"/>
            </w:pPr>
            <w:r/>
            <w:r>
              <w:rPr>
                <w:rFonts w:ascii="Times New Roman" w:hAnsi="Times New Roman"/>
                <w:i w:val="0"/>
                <w:sz w:val="16"/>
              </w:rPr>
              <w:t>XGBoost, 5-fold CV (mean ± std)</w:t>
            </w:r>
          </w:p>
        </w:tc>
        <w:tc>
          <w:tcPr>
            <w:tcW w:type="dxa" w:w="1440"/>
          </w:tcPr>
          <w:p>
            <w:pPr>
              <w:jc w:val="center"/>
            </w:pPr>
            <w:r/>
            <w:r>
              <w:rPr>
                <w:rFonts w:ascii="Times New Roman" w:hAnsi="Times New Roman"/>
                <w:i w:val="0"/>
                <w:sz w:val="16"/>
              </w:rPr>
              <w:t>25.92 ± 0.24</w:t>
            </w:r>
          </w:p>
        </w:tc>
        <w:tc>
          <w:tcPr>
            <w:tcW w:type="dxa" w:w="1440"/>
          </w:tcPr>
          <w:p>
            <w:pPr>
              <w:jc w:val="center"/>
            </w:pPr>
            <w:r/>
            <w:r>
              <w:rPr>
                <w:rFonts w:ascii="Times New Roman" w:hAnsi="Times New Roman"/>
                <w:i w:val="0"/>
                <w:sz w:val="16"/>
              </w:rPr>
              <w:t>0.8217 ± 0.0044</w:t>
            </w:r>
          </w:p>
        </w:tc>
      </w:tr>
    </w:tbl>
    <w:p>
      <w:pPr>
        <w:spacing w:after="40"/>
      </w:pPr>
    </w:p>
    <w:p>
      <w:pPr>
        <w:spacing w:before="40" w:after="160"/>
        <w:jc w:val="center"/>
      </w:pPr>
      <w:r>
        <w:rPr>
          <w:rFonts w:ascii="Times New Roman" w:hAnsi="Times New Roman"/>
          <w:i/>
          <w:sz w:val="16"/>
        </w:rPr>
        <w:t>TABLE I. Model Performance Comparison</w:t>
      </w:r>
    </w:p>
    <w:p>
      <w:pPr>
        <w:spacing w:after="120"/>
        <w:ind w:firstLine="288"/>
        <w:jc w:val="both"/>
      </w:pPr>
      <w:r>
        <w:rPr>
          <w:rFonts w:ascii="Times New Roman" w:hAnsi="Times New Roman"/>
          <w:i w:val="0"/>
          <w:sz w:val="20"/>
        </w:rPr>
        <w:t>The tight cross-validation variance confirms the single-split R² was not a lucky split. We highlight the IPCC-only row deliberately: an earlier production version used the physical formula as primary with XGBoost as a bounded ±15% adjustment and scored R² = −73.8 on this same test set, because the formula alone overestimates this dataset's target by roughly 2.5–3×. We surface this incident because getting the primary/fallback direction backwards is an easy, costly mistake for any hybrid system in this space, not specific to our implementation.</w:t>
      </w:r>
    </w:p>
    <w:p>
      <w:pPr>
        <w:spacing w:after="120"/>
        <w:ind w:firstLine="288"/>
        <w:jc w:val="both"/>
      </w:pPr>
      <w:r>
        <w:rPr>
          <w:rFonts w:ascii="Times New Roman" w:hAnsi="Times New Roman"/>
          <w:b/>
          <w:i w:val="0"/>
          <w:sz w:val="20"/>
        </w:rPr>
        <w:t>Because the training target is synthetically generated</w:t>
      </w:r>
      <w:r>
        <w:rPr>
          <w:rFonts w:ascii="Times New Roman" w:hAnsi="Times New Roman"/>
          <w:i w:val="0"/>
          <w:sz w:val="20"/>
        </w:rPr>
        <w:t xml:space="preserve"> (Section III-A), the R² above measures how well XGBoost recovers the dataset creators' undisclosed weighting formula from the input features — not validated real-world predictive accuracy. A model could be a near-perfect emulator of that formula and still diverge from real emissions if the formula's own weightings are imperfect approximations, which its own documentation hedges (“attempting to maintain values close to reality”). We consider this the single most important caveat for interpreting every number in this table.</w:t>
      </w:r>
    </w:p>
    <w:p>
      <w:pPr>
        <w:spacing w:before="120" w:after="60"/>
      </w:pPr>
      <w:r>
        <w:rPr>
          <w:rFonts w:ascii="Times New Roman" w:hAnsi="Times New Roman"/>
          <w:i/>
          <w:sz w:val="20"/>
        </w:rPr>
        <w:t>B. Live Grid Fusion</w:t>
      </w:r>
    </w:p>
    <w:p>
      <w:pPr>
        <w:spacing w:after="120"/>
        <w:ind w:firstLine="288"/>
        <w:jc w:val="both"/>
      </w:pPr>
      <w:r>
        <w:rPr>
          <w:rFonts w:ascii="Times New Roman" w:hAnsi="Times New Roman"/>
          <w:i w:val="0"/>
          <w:sz w:val="20"/>
        </w:rPr>
        <w:t>Because the held-out test set has no associated “true” live grid intensity at request time, we can only report the magnitude of the live-grid correction term under an illustrative alternate-grid scenario, not its accuracy. Under a scenario where grid intensity for India/US/EU drops from their training-time baselines (708/386/276 gCO₂/kWh) to more decarbonized current values (565/350/250), the mean correction is −0.87 kg CO₂/month across the full test set and −3.48 kg CO₂/month among the 24.9% of rows using a grid-tied energy source. We do not claim this improves accuracy — only that it is a small, directionally sensible adjustment whose real-world correctness is unverified.</w:t>
      </w:r>
    </w:p>
    <w:p>
      <w:pPr>
        <w:spacing w:before="120" w:after="60"/>
      </w:pPr>
      <w:r>
        <w:rPr>
          <w:rFonts w:ascii="Times New Roman" w:hAnsi="Times New Roman"/>
          <w:i/>
          <w:sz w:val="20"/>
        </w:rPr>
        <w:t>C. Routing Gate: How Often Is XGBoost Actually Used?</w:t>
      </w:r>
    </w:p>
    <w:p>
      <w:pPr>
        <w:spacing w:after="120"/>
        <w:ind w:firstLine="288"/>
        <w:jc w:val="both"/>
      </w:pPr>
      <w:r>
        <w:rPr>
          <w:rFonts w:ascii="Times New Roman" w:hAnsi="Times New Roman"/>
          <w:i w:val="0"/>
          <w:sz w:val="20"/>
        </w:rPr>
        <w:t>Over 3,000 randomly-sampled realistic scenarios (not training rows), 895/3,000 (29.8%) pass the five-feature numeric range gate alone. kwh_per_day is the single largest numeric blocker (56.2% of numeric-out-of-range cases), traced to a structural cause: this feature is derived from device/shower hours in the raw dataset, not a full household electricity bill, so its trained range is narrow by construction, not by insufficient sampling. flight_km_total (33.9%) and kg_food_per_day (30.0%) are comparably large contributors, traced to a different structural cause: both are derived from small categorical lookup tables in the source data (4 flight-frequency buckets; 4 diet-type buckets), so a continuous, realistic value for either was rarely something the model was trained to interpolate over. We did not attempt to widen these ranges: a prior incident in this project showed that widening kwh_per_day's range let a genuinely out-of-distribution input reach the model and produce a materially wrong (understated) prediction.</w:t>
      </w:r>
    </w:p>
    <w:p>
      <w:pPr>
        <w:spacing w:after="120"/>
        <w:ind w:firstLine="288"/>
        <w:jc w:val="both"/>
      </w:pPr>
      <w:r>
        <w:rPr>
          <w:rFonts w:ascii="Times New Roman" w:hAnsi="Times New Roman"/>
          <w:b/>
          <w:i w:val="0"/>
          <w:sz w:val="20"/>
        </w:rPr>
        <w:t>A second, larger gap:</w:t>
      </w:r>
      <w:r>
        <w:rPr>
          <w:rFonts w:ascii="Times New Roman" w:hAnsi="Times New Roman"/>
          <w:i w:val="0"/>
          <w:sz w:val="20"/>
        </w:rPr>
        <w:t xml:space="preserve"> the categorical fields had no vocabulary check at all until this evaluation pass. The raw training data covers only 5 of 10 transport_type values, 4 of 13 food_type values, and 3 of 10 energy_source values that the extraction interface exposes — notably, grid_india, the system's own default energy_source, was never a trained category. Before this fix, an unrecognized category was silently re-mapped to whichever class happens to be encoded as zero and still returned an XGBoost-labeled prediction — a silent correctness bug, not merely an accuracy gap. After adding this check, the true safe-usage rate falls to 25/3,000 (0.8%): energy_source alone fails 70.5% of all sampled scenarios, food_type 69.9%, transport_type 51.1%.</w:t>
      </w:r>
    </w:p>
    <w:p>
      <w:pPr>
        <w:spacing w:after="120"/>
        <w:ind w:firstLine="288"/>
        <w:jc w:val="both"/>
      </w:pPr>
      <w:r>
        <w:rPr>
          <w:rFonts w:ascii="Times New Roman" w:hAnsi="Times New Roman"/>
          <w:b/>
          <w:i w:val="0"/>
          <w:sz w:val="20"/>
        </w:rPr>
        <w:t>Practical implication:</w:t>
      </w:r>
      <w:r>
        <w:rPr>
          <w:rFonts w:ascii="Times New Roman" w:hAnsi="Times New Roman"/>
          <w:i w:val="0"/>
          <w:sz w:val="20"/>
        </w:rPr>
        <w:t xml:space="preserve"> for this deployed system, on realistic natural-language traffic, the IPCC formula — not the R²=0.83 XGBoost model — is the de facto primary predictor. We consider this the paper's most important empirical finding, ahead of the synthetic-data provenance issue, because it means the model whose accuracy we report in Table I essentially never runs on real queries. Among the 25 scenarios where XGBoost does engage, it disagrees with the formula estimate by a mean of 581.53 kg CO₂/month (69.3% relative; 84% of these differ by more than 50%) — not a ground-truth comparison, since both methods estimate the same synthetic target differently, but a measure of how much the routing decision can swing the number a user sees.</w:t>
      </w:r>
    </w:p>
    <w:p>
      <w:pPr>
        <w:spacing w:after="120"/>
        <w:ind w:firstLine="288"/>
        <w:jc w:val="both"/>
      </w:pPr>
      <w:r>
        <w:rPr>
          <w:rFonts w:ascii="Times New Roman" w:hAnsi="Times New Roman"/>
          <w:i w:val="0"/>
          <w:sz w:val="20"/>
        </w:rPr>
        <w:t>Expanding the trained categorical vocabulary is a training-data coverage limitation, not a routing-logic bug — the raw Kaggle dataset itself only contains 3–5 category values per field to begin with — and is out of scope without a richer, labeled dataset.</w:t>
      </w:r>
    </w:p>
    <w:p>
      <w:pPr>
        <w:spacing w:before="120" w:after="60"/>
      </w:pPr>
      <w:r>
        <w:rPr>
          <w:rFonts w:ascii="Times New Roman" w:hAnsi="Times New Roman"/>
          <w:i/>
          <w:sz w:val="20"/>
        </w:rPr>
        <w:t>D. Extraction Reliability</w:t>
      </w:r>
    </w:p>
    <w:tbl>
      <w:tblPr>
        <w:tblStyle w:val="TableGrid"/>
        <w:tblW w:type="auto" w:w="0"/>
        <w:tblLook w:firstColumn="1" w:firstRow="1" w:lastColumn="0" w:lastRow="0" w:noHBand="0" w:noVBand="1" w:val="04A0"/>
      </w:tblPr>
      <w:tblGrid>
        <w:gridCol w:w="5220"/>
        <w:gridCol w:w="5220"/>
      </w:tblGrid>
      <w:tr>
        <w:tc>
          <w:tcPr>
            <w:tcW w:type="dxa" w:w="3168"/>
          </w:tcPr>
          <w:p>
            <w:pPr>
              <w:jc w:val="center"/>
            </w:pPr>
            <w:r/>
            <w:r>
              <w:rPr>
                <w:rFonts w:ascii="Times New Roman" w:hAnsi="Times New Roman"/>
                <w:b/>
                <w:sz w:val="16"/>
              </w:rPr>
              <w:t>Stage</w:t>
            </w:r>
          </w:p>
        </w:tc>
        <w:tc>
          <w:tcPr>
            <w:tcW w:type="dxa" w:w="1728"/>
          </w:tcPr>
          <w:p>
            <w:pPr>
              <w:jc w:val="center"/>
            </w:pPr>
            <w:r/>
            <w:r>
              <w:rPr>
                <w:rFonts w:ascii="Times New Roman" w:hAnsi="Times New Roman"/>
                <w:b/>
                <w:sz w:val="16"/>
              </w:rPr>
              <w:t>Tool-call failure rate</w:t>
            </w:r>
          </w:p>
        </w:tc>
      </w:tr>
      <w:tr>
        <w:tc>
          <w:tcPr>
            <w:tcW w:type="dxa" w:w="3168"/>
          </w:tcPr>
          <w:p>
            <w:pPr>
              <w:jc w:val="center"/>
            </w:pPr>
            <w:r/>
            <w:r>
              <w:rPr>
                <w:rFonts w:ascii="Times New Roman" w:hAnsi="Times New Roman"/>
                <w:i w:val="0"/>
                <w:sz w:val="16"/>
              </w:rPr>
              <w:t>Original design (LLM pre-computes arithmetic)</w:t>
            </w:r>
          </w:p>
        </w:tc>
        <w:tc>
          <w:tcPr>
            <w:tcW w:type="dxa" w:w="1728"/>
          </w:tcPr>
          <w:p>
            <w:pPr>
              <w:jc w:val="center"/>
            </w:pPr>
            <w:r/>
            <w:r>
              <w:rPr>
                <w:rFonts w:ascii="Times New Roman" w:hAnsi="Times New Roman"/>
                <w:i w:val="0"/>
                <w:sz w:val="16"/>
              </w:rPr>
              <w:t>11/12 (92%)</w:t>
            </w:r>
          </w:p>
        </w:tc>
      </w:tr>
      <w:tr>
        <w:tc>
          <w:tcPr>
            <w:tcW w:type="dxa" w:w="3168"/>
          </w:tcPr>
          <w:p>
            <w:pPr>
              <w:jc w:val="center"/>
            </w:pPr>
            <w:r/>
            <w:r>
              <w:rPr>
                <w:rFonts w:ascii="Times New Roman" w:hAnsi="Times New Roman"/>
                <w:i w:val="0"/>
                <w:sz w:val="16"/>
              </w:rPr>
              <w:t>After ReAct→2-call rewrite (prose categorical values)</w:t>
            </w:r>
          </w:p>
        </w:tc>
        <w:tc>
          <w:tcPr>
            <w:tcW w:type="dxa" w:w="1728"/>
          </w:tcPr>
          <w:p>
            <w:pPr>
              <w:jc w:val="center"/>
            </w:pPr>
            <w:r/>
            <w:r>
              <w:rPr>
                <w:rFonts w:ascii="Times New Roman" w:hAnsi="Times New Roman"/>
                <w:i w:val="0"/>
                <w:sz w:val="16"/>
              </w:rPr>
              <w:t>6/14 (43%)</w:t>
            </w:r>
          </w:p>
        </w:tc>
      </w:tr>
      <w:tr>
        <w:tc>
          <w:tcPr>
            <w:tcW w:type="dxa" w:w="3168"/>
          </w:tcPr>
          <w:p>
            <w:pPr>
              <w:jc w:val="center"/>
            </w:pPr>
            <w:r/>
            <w:r>
              <w:rPr>
                <w:rFonts w:ascii="Times New Roman" w:hAnsi="Times New Roman"/>
                <w:i w:val="0"/>
                <w:sz w:val="16"/>
              </w:rPr>
              <w:t>After Literal type hints + temperature=0</w:t>
            </w:r>
          </w:p>
        </w:tc>
        <w:tc>
          <w:tcPr>
            <w:tcW w:type="dxa" w:w="1728"/>
          </w:tcPr>
          <w:p>
            <w:pPr>
              <w:jc w:val="center"/>
            </w:pPr>
            <w:r/>
            <w:r>
              <w:rPr>
                <w:rFonts w:ascii="Times New Roman" w:hAnsi="Times New Roman"/>
                <w:i w:val="0"/>
                <w:sz w:val="16"/>
              </w:rPr>
              <w:t>1/14 (7.1%)</w:t>
            </w:r>
          </w:p>
        </w:tc>
      </w:tr>
      <w:tr>
        <w:tc>
          <w:tcPr>
            <w:tcW w:type="dxa" w:w="3168"/>
          </w:tcPr>
          <w:p>
            <w:pPr>
              <w:jc w:val="center"/>
            </w:pPr>
            <w:r/>
            <w:r>
              <w:rPr>
                <w:rFonts w:ascii="Times New Roman" w:hAnsi="Times New Roman"/>
                <w:i w:val="0"/>
                <w:sz w:val="16"/>
              </w:rPr>
              <w:t>After recovering rejected native-format tool calls</w:t>
            </w:r>
          </w:p>
        </w:tc>
        <w:tc>
          <w:tcPr>
            <w:tcW w:type="dxa" w:w="1728"/>
          </w:tcPr>
          <w:p>
            <w:pPr>
              <w:jc w:val="center"/>
            </w:pPr>
            <w:r/>
            <w:r>
              <w:rPr>
                <w:rFonts w:ascii="Times New Roman" w:hAnsi="Times New Roman"/>
                <w:i w:val="0"/>
                <w:sz w:val="16"/>
              </w:rPr>
              <w:t>0/14 (0%)</w:t>
            </w:r>
          </w:p>
        </w:tc>
      </w:tr>
    </w:tbl>
    <w:p>
      <w:pPr>
        <w:spacing w:after="40"/>
      </w:pPr>
    </w:p>
    <w:p>
      <w:pPr>
        <w:spacing w:before="40" w:after="160"/>
        <w:jc w:val="center"/>
      </w:pPr>
      <w:r>
        <w:rPr>
          <w:rFonts w:ascii="Times New Roman" w:hAnsi="Times New Roman"/>
          <w:i/>
          <w:sz w:val="16"/>
        </w:rPr>
        <w:t>TABLE II. Tool-Call Reliability by Fix Stage</w:t>
      </w:r>
    </w:p>
    <w:p>
      <w:pPr>
        <w:spacing w:after="120"/>
        <w:ind w:firstLine="288"/>
        <w:jc w:val="both"/>
      </w:pPr>
      <w:r>
        <w:rPr>
          <w:rFonts w:ascii="Times New Roman" w:hAnsi="Times New Roman"/>
          <w:i w:val="0"/>
          <w:sz w:val="20"/>
        </w:rPr>
        <w:t>Each row above is a separately diagnosed and fixed failure mode, not repeated measurements of the same bug. Most notably: the 7.1% residual was initially assumed to be inherent model flakiness, but direct repro showed one specific query failed identically across four repeated calls at temperature=0 — deterministic, not random. Inspecting the raw Groq error body showed the model's extraction was already fully correct; Groq had rejected the response purely because it was emitted in Llama's native &lt;function=name&gt;{...} text format rather than the expected structured tool-call schema. Parsing and recovering that rejected text, rather than retrying an identical request, resolved this case. General lesson: a tool_use_failed rejection is a claim about response format, not necessarily about extraction correctness — worth checking the raw error body before assuming the model reasoned incorrectly.</w:t>
      </w:r>
    </w:p>
    <w:p>
      <w:pPr>
        <w:spacing w:before="200" w:after="120"/>
        <w:jc w:val="center"/>
      </w:pPr>
      <w:r>
        <w:rPr>
          <w:rFonts w:ascii="Times New Roman" w:hAnsi="Times New Roman"/>
          <w:b/>
          <w:sz w:val="20"/>
        </w:rPr>
        <w:t>VI. LIMITATIONS</w:t>
      </w:r>
    </w:p>
    <w:p>
      <w:pPr>
        <w:spacing w:after="80"/>
        <w:ind w:firstLine="144"/>
        <w:jc w:val="both"/>
      </w:pPr>
      <w:r>
        <w:rPr>
          <w:rFonts w:ascii="Times New Roman" w:hAnsi="Times New Roman"/>
          <w:i w:val="0"/>
          <w:sz w:val="20"/>
        </w:rPr>
        <w:t xml:space="preserve">• </w:t>
      </w:r>
      <w:r>
        <w:rPr>
          <w:rFonts w:ascii="Times New Roman" w:hAnsi="Times New Roman"/>
          <w:b/>
          <w:i w:val="0"/>
          <w:sz w:val="20"/>
        </w:rPr>
        <w:t>The training dataset's target is synthetically generated</w:t>
      </w:r>
      <w:r>
        <w:rPr>
          <w:rFonts w:ascii="Times New Roman" w:hAnsi="Times New Roman"/>
          <w:i w:val="0"/>
          <w:sz w:val="20"/>
        </w:rPr>
        <w:t>, not measured real-world data (Section III-A, V-A) — the most important caveat for interpreting the reported R².</w:t>
      </w:r>
    </w:p>
    <w:p>
      <w:pPr>
        <w:spacing w:after="80"/>
        <w:ind w:firstLine="144"/>
        <w:jc w:val="both"/>
      </w:pPr>
      <w:r>
        <w:rPr>
          <w:rFonts w:ascii="Times New Roman" w:hAnsi="Times New Roman"/>
          <w:i w:val="0"/>
          <w:sz w:val="20"/>
        </w:rPr>
        <w:t xml:space="preserve">• </w:t>
      </w:r>
      <w:r>
        <w:rPr>
          <w:rFonts w:ascii="Times New Roman" w:hAnsi="Times New Roman"/>
          <w:b/>
          <w:i w:val="0"/>
          <w:sz w:val="20"/>
        </w:rPr>
        <w:t>XGBoost's true safe engagement rate on realistic traffic is 0.8%</w:t>
      </w:r>
      <w:r>
        <w:rPr>
          <w:rFonts w:ascii="Times New Roman" w:hAnsi="Times New Roman"/>
          <w:i w:val="0"/>
          <w:sz w:val="20"/>
        </w:rPr>
        <w:t>, not the 29.8% suggested by the numeric range gate alone (Section V-C); the IPCC formula is the practical primary predictor for this deployed system.</w:t>
      </w:r>
    </w:p>
    <w:p>
      <w:pPr>
        <w:spacing w:after="80"/>
        <w:ind w:firstLine="144"/>
        <w:jc w:val="both"/>
      </w:pPr>
      <w:r>
        <w:rPr>
          <w:rFonts w:ascii="Times New Roman" w:hAnsi="Times New Roman"/>
          <w:i w:val="0"/>
          <w:sz w:val="20"/>
        </w:rPr>
        <w:t xml:space="preserve">• </w:t>
      </w:r>
      <w:r>
        <w:rPr>
          <w:rFonts w:ascii="Times New Roman" w:hAnsi="Times New Roman"/>
          <w:b/>
          <w:i w:val="0"/>
          <w:sz w:val="20"/>
        </w:rPr>
        <w:t>No external validation.</w:t>
      </w:r>
      <w:r>
        <w:rPr>
          <w:rFonts w:ascii="Times New Roman" w:hAnsi="Times New Roman"/>
          <w:i w:val="0"/>
          <w:sz w:val="20"/>
        </w:rPr>
        <w:t xml:space="preserve"> No comparison against an independent third-party carbon calculator or user study has been performed; an attempt to compare against a public calculator was abandoned after finding scope and unit mismatches too severe to produce trustworthy numbers.</w:t>
      </w:r>
    </w:p>
    <w:p>
      <w:pPr>
        <w:spacing w:after="80"/>
        <w:ind w:firstLine="144"/>
        <w:jc w:val="both"/>
      </w:pPr>
      <w:r>
        <w:rPr>
          <w:rFonts w:ascii="Times New Roman" w:hAnsi="Times New Roman"/>
          <w:i w:val="0"/>
          <w:sz w:val="20"/>
        </w:rPr>
        <w:t xml:space="preserve">• </w:t>
      </w:r>
      <w:r>
        <w:rPr>
          <w:rFonts w:ascii="Times New Roman" w:hAnsi="Times New Roman"/>
          <w:b/>
          <w:i w:val="0"/>
          <w:sz w:val="20"/>
        </w:rPr>
        <w:t>The live-grid correction's accuracy is unverified</w:t>
      </w:r>
      <w:r>
        <w:rPr>
          <w:rFonts w:ascii="Times New Roman" w:hAnsi="Times New Roman"/>
          <w:i w:val="0"/>
          <w:sz w:val="20"/>
        </w:rPr>
        <w:t xml:space="preserve"> — only its magnitude under an illustrative scenario is reported (Section V-B).</w:t>
      </w:r>
    </w:p>
    <w:p>
      <w:pPr>
        <w:spacing w:after="80"/>
        <w:ind w:firstLine="144"/>
        <w:jc w:val="both"/>
      </w:pPr>
      <w:r>
        <w:rPr>
          <w:rFonts w:ascii="Times New Roman" w:hAnsi="Times New Roman"/>
          <w:i w:val="0"/>
          <w:sz w:val="20"/>
        </w:rPr>
        <w:t xml:space="preserve">• </w:t>
      </w:r>
      <w:r>
        <w:rPr>
          <w:rFonts w:ascii="Times New Roman" w:hAnsi="Times New Roman"/>
          <w:b/>
          <w:i w:val="0"/>
          <w:sz w:val="20"/>
        </w:rPr>
        <w:t>The extraction LLM (llama-3.1-8b-instant) was chosen for cost/latency</w:t>
      </w:r>
      <w:r>
        <w:rPr>
          <w:rFonts w:ascii="Times New Roman" w:hAnsi="Times New Roman"/>
          <w:i w:val="0"/>
          <w:sz w:val="20"/>
        </w:rPr>
        <w:t>, not benchmarked against larger models on extraction accuracy.</w:t>
      </w:r>
    </w:p>
    <w:p>
      <w:pPr>
        <w:spacing w:after="80"/>
        <w:ind w:firstLine="144"/>
        <w:jc w:val="both"/>
      </w:pPr>
      <w:r>
        <w:rPr>
          <w:rFonts w:ascii="Times New Roman" w:hAnsi="Times New Roman"/>
          <w:i w:val="0"/>
          <w:sz w:val="20"/>
        </w:rPr>
        <w:t xml:space="preserve">• </w:t>
      </w:r>
      <w:r>
        <w:rPr>
          <w:rFonts w:ascii="Times New Roman" w:hAnsi="Times New Roman"/>
          <w:b/>
          <w:i w:val="0"/>
          <w:sz w:val="20"/>
        </w:rPr>
        <w:t>Reproducibility gap</w:t>
      </w:r>
      <w:r>
        <w:rPr>
          <w:rFonts w:ascii="Times New Roman" w:hAnsi="Times New Roman"/>
          <w:i w:val="0"/>
          <w:sz w:val="20"/>
        </w:rPr>
        <w:t>: two of three trained model artifacts and the raw dataset are not committed to the repository; the deployed model artifact is committed and the application runs out of the box, but reproducing the training pipeline from a fresh clone requires separately sourcing the raw dataset.</w:t>
      </w:r>
    </w:p>
    <w:p>
      <w:pPr>
        <w:spacing w:before="200" w:after="120"/>
        <w:jc w:val="center"/>
      </w:pPr>
      <w:r>
        <w:rPr>
          <w:rFonts w:ascii="Times New Roman" w:hAnsi="Times New Roman"/>
          <w:b/>
          <w:sz w:val="20"/>
        </w:rPr>
        <w:t>VII. CONCLUSION</w:t>
      </w:r>
    </w:p>
    <w:p>
      <w:pPr>
        <w:spacing w:after="120"/>
        <w:ind w:firstLine="288"/>
        <w:jc w:val="both"/>
      </w:pPr>
      <w:r>
        <w:rPr>
          <w:rFonts w:ascii="Times New Roman" w:hAnsi="Times New Roman"/>
          <w:i w:val="0"/>
          <w:sz w:val="20"/>
        </w:rPr>
        <w:t>We presented the AI Sustainability Copilot, a hybrid ML–LLM system for personalized carbon footprint estimation, and — more centrally to this paper's contribution — a rigorous, realistic-input evaluation of that system that surfaced three significant, separately-fixed issues: a primary/fallback inversion that had scored R² = −73.8, a series of natural-language tool-call reliability regressions traced to distinct root causes, and a categorical vocabulary gap that reduces the trained model's true safe usage rate from an apparent 29.8% to 0.8% on realistic traffic. We report all three candidly, including the last, because we believe under-testing a hybrid system's routing behavior against realistic (rather than in-distribution) inputs is a generalizable risk for this class of system, not one specific to ours. Future work includes external validation against an independent carbon calculator, expanding the training data's categorical coverage, and a longitudinal user study of suggestion usefulness.</w:t>
      </w:r>
    </w:p>
    <w:p>
      <w:pPr>
        <w:spacing w:before="200" w:after="120"/>
        <w:jc w:val="center"/>
      </w:pPr>
      <w:r>
        <w:rPr>
          <w:rFonts w:ascii="Times New Roman" w:hAnsi="Times New Roman"/>
          <w:b/>
          <w:sz w:val="20"/>
        </w:rPr>
        <w:t>REFERENCES</w:t>
      </w:r>
    </w:p>
    <w:p>
      <w:pPr>
        <w:spacing w:after="60"/>
        <w:ind w:left="288" w:hanging="288"/>
      </w:pPr>
      <w:r>
        <w:rPr>
          <w:rFonts w:ascii="Times New Roman" w:hAnsi="Times New Roman"/>
          <w:i w:val="0"/>
          <w:sz w:val="18"/>
        </w:rPr>
        <w:t>[1] IPCC, “Climate Change 2022: Mitigation of Climate Change. Contribution of Working Group III to the Sixth Assessment Report,” Cambridge University Press, 2022.</w:t>
      </w:r>
    </w:p>
    <w:p>
      <w:pPr>
        <w:spacing w:after="60"/>
        <w:ind w:left="288" w:hanging="288"/>
      </w:pPr>
      <w:r>
        <w:rPr>
          <w:rFonts w:ascii="Times New Roman" w:hAnsi="Times New Roman"/>
          <w:i w:val="0"/>
          <w:sz w:val="18"/>
        </w:rPr>
        <w:t>[2] U.S. EPA, “Household Carbon Footprint Calculator.” [Online]. Available: https://www.epa.gov/carbon-footprint-calculator</w:t>
      </w:r>
    </w:p>
    <w:p>
      <w:pPr>
        <w:spacing w:after="60"/>
        <w:ind w:left="288" w:hanging="288"/>
      </w:pPr>
      <w:r>
        <w:rPr>
          <w:rFonts w:ascii="Times New Roman" w:hAnsi="Times New Roman"/>
          <w:i w:val="0"/>
          <w:sz w:val="18"/>
        </w:rPr>
        <w:t>[3] T. Wiedmann and J. Minx, “A Definition of Carbon Footprint,” in Ecological Economics Research Trends, Nova Science Publishers, 2008, pp. 1–11.</w:t>
      </w:r>
    </w:p>
    <w:p>
      <w:pPr>
        <w:spacing w:after="60"/>
        <w:ind w:left="288" w:hanging="288"/>
      </w:pPr>
      <w:r>
        <w:rPr>
          <w:rFonts w:ascii="Times New Roman" w:hAnsi="Times New Roman"/>
          <w:i w:val="0"/>
          <w:sz w:val="18"/>
        </w:rPr>
        <w:t>[4] J. Poore and T. Nemecek, “Reducing food's environmental impacts through producers and consumers,” Science, vol. 360, no. 6392, pp. 987–992, Jun. 2018.</w:t>
      </w:r>
    </w:p>
    <w:p>
      <w:pPr>
        <w:spacing w:after="60"/>
        <w:ind w:left="288" w:hanging="288"/>
      </w:pPr>
      <w:r>
        <w:rPr>
          <w:rFonts w:ascii="Times New Roman" w:hAnsi="Times New Roman"/>
          <w:i w:val="0"/>
          <w:sz w:val="18"/>
        </w:rPr>
        <w:t>[5] LangChain, “LangGraph: Building Stateful, Multi-Actor Applications with LLMs,” 2024. [Online]. Available: https://langchain-ai.github.io/langgraph/</w:t>
      </w:r>
    </w:p>
    <w:p>
      <w:pPr>
        <w:spacing w:after="60"/>
        <w:ind w:left="288" w:hanging="288"/>
      </w:pPr>
      <w:r>
        <w:rPr>
          <w:rFonts w:ascii="Times New Roman" w:hAnsi="Times New Roman"/>
          <w:i w:val="0"/>
          <w:sz w:val="18"/>
        </w:rPr>
        <w:t>[6] S. Yao et al., “ReAct: Synergizing Reasoning and Acting in Language Models,” in Proc. ICLR 2023, 2023.</w:t>
      </w:r>
    </w:p>
    <w:p>
      <w:pPr>
        <w:spacing w:after="60"/>
        <w:ind w:left="288" w:hanging="288"/>
      </w:pPr>
      <w:r>
        <w:rPr>
          <w:rFonts w:ascii="Times New Roman" w:hAnsi="Times New Roman"/>
          <w:i w:val="0"/>
          <w:sz w:val="18"/>
        </w:rPr>
        <w:t>[7] Electricity Maps, “Real-time Carbon Intensity API,” 2024. [Online]. Available: https://www.electricitymaps.com/</w:t>
      </w:r>
    </w:p>
    <w:p>
      <w:pPr>
        <w:spacing w:after="60"/>
        <w:ind w:left="288" w:hanging="288"/>
      </w:pPr>
      <w:r>
        <w:rPr>
          <w:rFonts w:ascii="Times New Roman" w:hAnsi="Times New Roman"/>
          <w:i w:val="0"/>
          <w:sz w:val="18"/>
        </w:rPr>
        <w:t>[8] M. Duman et al., “Individual Carbon Footprint Calculation,” Kaggle Dataset, 2023, License CC0. [Online]. Available: https://www.kaggle.com/datasets/dumanmesut/individual-carbon-footprint-calculation</w:t>
      </w:r>
    </w:p>
    <w:p>
      <w:pPr>
        <w:spacing w:after="60"/>
        <w:ind w:left="288" w:hanging="288"/>
      </w:pPr>
      <w:r>
        <w:rPr>
          <w:rFonts w:ascii="Times New Roman" w:hAnsi="Times New Roman"/>
          <w:i w:val="0"/>
          <w:sz w:val="18"/>
        </w:rPr>
        <w:t>[9] H. Ritchie, M. Roser, and P. Rosado, “CO₂ and Greenhouse Gas Emissions,” Our World in Data, 2023.</w:t>
      </w:r>
    </w:p>
    <w:sectPr w:rsidR="00FC693F" w:rsidRPr="0006063C" w:rsidSect="00034616">
      <w:type w:val="continuous"/>
      <w:pgSz w:w="12240" w:h="15840"/>
      <w:pgMar w:top="1080" w:right="900" w:bottom="1440" w:left="900" w:header="720" w:footer="720" w:gutter="0"/>
      <w:cols w:space="288"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