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00" w:lineRule="auto"/>
        <w:ind w:firstLine="0"/>
        <w:jc w:val="center"/>
        <w:rPr>
          <w:rFonts w:ascii="Arial" w:cs="Arial" w:eastAsia="Arial" w:hAnsi="Arial"/>
          <w:b w:val="1"/>
          <w:color w:val="0d0d0d"/>
          <w:sz w:val="60"/>
          <w:szCs w:val="60"/>
        </w:rPr>
      </w:pPr>
      <w:r w:rsidDel="00000000" w:rsidR="00000000" w:rsidRPr="00000000">
        <w:rPr>
          <w:rtl w:val="0"/>
        </w:rPr>
      </w:r>
    </w:p>
    <w:p w:rsidR="00000000" w:rsidDel="00000000" w:rsidP="00000000" w:rsidRDefault="00000000" w:rsidRPr="00000000" w14:paraId="00000002">
      <w:pPr>
        <w:spacing w:before="200" w:lineRule="auto"/>
        <w:ind w:firstLine="0"/>
        <w:jc w:val="center"/>
        <w:rPr>
          <w:rFonts w:ascii="Arial" w:cs="Arial" w:eastAsia="Arial" w:hAnsi="Arial"/>
          <w:b w:val="1"/>
          <w:color w:val="0d0d0d"/>
          <w:sz w:val="60"/>
          <w:szCs w:val="60"/>
        </w:rPr>
      </w:pPr>
      <w:r w:rsidDel="00000000" w:rsidR="00000000" w:rsidRPr="00000000">
        <w:rPr>
          <w:rtl w:val="0"/>
        </w:rPr>
      </w:r>
    </w:p>
    <w:p w:rsidR="00000000" w:rsidDel="00000000" w:rsidP="00000000" w:rsidRDefault="00000000" w:rsidRPr="00000000" w14:paraId="00000003">
      <w:pPr>
        <w:spacing w:before="200" w:lineRule="auto"/>
        <w:ind w:firstLine="0"/>
        <w:jc w:val="center"/>
        <w:rPr>
          <w:b w:val="1"/>
          <w:color w:val="0d0d0d"/>
          <w:sz w:val="50"/>
          <w:szCs w:val="50"/>
        </w:rPr>
      </w:pPr>
      <w:r w:rsidDel="00000000" w:rsidR="00000000" w:rsidRPr="00000000">
        <w:rPr>
          <w:rtl w:val="0"/>
        </w:rPr>
      </w:r>
    </w:p>
    <w:p w:rsidR="00000000" w:rsidDel="00000000" w:rsidP="00000000" w:rsidRDefault="00000000" w:rsidRPr="00000000" w14:paraId="00000004">
      <w:pPr>
        <w:spacing w:before="200" w:lineRule="auto"/>
        <w:ind w:firstLine="0"/>
        <w:jc w:val="center"/>
        <w:rPr>
          <w:b w:val="1"/>
          <w:color w:val="0d0d0d"/>
          <w:sz w:val="50"/>
          <w:szCs w:val="50"/>
        </w:rPr>
      </w:pPr>
      <w:r w:rsidDel="00000000" w:rsidR="00000000" w:rsidRPr="00000000">
        <w:rPr>
          <w:rtl w:val="0"/>
        </w:rPr>
      </w:r>
    </w:p>
    <w:p w:rsidR="00000000" w:rsidDel="00000000" w:rsidP="00000000" w:rsidRDefault="00000000" w:rsidRPr="00000000" w14:paraId="00000005">
      <w:pPr>
        <w:spacing w:before="200" w:lineRule="auto"/>
        <w:ind w:firstLine="0"/>
        <w:jc w:val="center"/>
        <w:rPr>
          <w:rFonts w:ascii="Arial" w:cs="Arial" w:eastAsia="Arial" w:hAnsi="Arial"/>
          <w:b w:val="1"/>
          <w:color w:val="00b050"/>
          <w:sz w:val="50"/>
          <w:szCs w:val="50"/>
        </w:rPr>
      </w:pPr>
      <w:r w:rsidDel="00000000" w:rsidR="00000000" w:rsidRPr="00000000">
        <w:rPr>
          <w:rFonts w:ascii="Arial" w:cs="Arial" w:eastAsia="Arial" w:hAnsi="Arial"/>
          <w:b w:val="1"/>
          <w:color w:val="0d0d0d"/>
          <w:sz w:val="50"/>
          <w:szCs w:val="50"/>
          <w:rtl w:val="0"/>
        </w:rPr>
        <w:t xml:space="preserve">Evidencias sistema</w:t>
      </w:r>
      <w:r w:rsidDel="00000000" w:rsidR="00000000" w:rsidRPr="00000000">
        <w:rPr>
          <w:b w:val="1"/>
          <w:color w:val="0d0d0d"/>
          <w:sz w:val="50"/>
          <w:szCs w:val="50"/>
          <w:rtl w:val="0"/>
        </w:rPr>
        <w:t xml:space="preserve"> </w:t>
      </w:r>
      <w:r w:rsidDel="00000000" w:rsidR="00000000" w:rsidRPr="00000000">
        <w:rPr>
          <w:rFonts w:ascii="Arial" w:cs="Arial" w:eastAsia="Arial" w:hAnsi="Arial"/>
          <w:b w:val="1"/>
          <w:color w:val="0d0d0d"/>
          <w:sz w:val="50"/>
          <w:szCs w:val="50"/>
          <w:rtl w:val="0"/>
        </w:rPr>
        <w:t xml:space="preserve">de aplicación</w:t>
      </w:r>
      <w:r w:rsidDel="00000000" w:rsidR="00000000" w:rsidRPr="00000000">
        <w:rPr>
          <w:rtl w:val="0"/>
        </w:rPr>
      </w:r>
    </w:p>
    <w:p w:rsidR="00000000" w:rsidDel="00000000" w:rsidP="00000000" w:rsidRDefault="00000000" w:rsidRPr="00000000" w14:paraId="00000006">
      <w:pPr>
        <w:spacing w:before="200" w:line="240" w:lineRule="auto"/>
        <w:jc w:val="center"/>
        <w:rPr>
          <w:rFonts w:ascii="Arial" w:cs="Arial" w:eastAsia="Arial" w:hAnsi="Arial"/>
          <w:b w:val="1"/>
          <w:color w:val="1c4587"/>
          <w:sz w:val="60"/>
          <w:szCs w:val="60"/>
        </w:rPr>
      </w:pPr>
      <w:r w:rsidDel="00000000" w:rsidR="00000000" w:rsidRPr="00000000">
        <w:rPr>
          <w:b w:val="1"/>
          <w:color w:val="1c4587"/>
          <w:sz w:val="50"/>
          <w:szCs w:val="50"/>
          <w:rtl w:val="0"/>
        </w:rPr>
        <w:t xml:space="preserve">Data Warehouse HVR</w:t>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hl25s9g9owgq" w:id="0"/>
      <w:bookmarkEnd w:id="0"/>
      <w:r w:rsidDel="00000000" w:rsidR="00000000" w:rsidRPr="00000000">
        <w:rPr>
          <w:rtl w:val="0"/>
        </w:rPr>
      </w:r>
    </w:p>
    <w:p w:rsidR="00000000" w:rsidDel="00000000" w:rsidP="00000000" w:rsidRDefault="00000000" w:rsidRPr="00000000" w14:paraId="00000008">
      <w:pPr>
        <w:rPr>
          <w:b w:val="1"/>
          <w:color w:val="666666"/>
        </w:rPr>
      </w:pPr>
      <w:r w:rsidDel="00000000" w:rsidR="00000000" w:rsidRPr="00000000">
        <w:rPr>
          <w:b w:val="1"/>
          <w:color w:val="666666"/>
          <w:rtl w:val="0"/>
        </w:rPr>
        <w:t xml:space="preserve">Contenido</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3j60uzdcc4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8lbwo2o436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u7ieggb6w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l92r9pe71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Origen de Datos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ybgj3lcoa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pruebas de conexión desde el servidor local a GCP</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dqhh944f5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Buckets en Cloud Storage</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f5423uq17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Functions para la carga de datos en BigQuery</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3u3nvez2j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Function lector_de_bucket_dev</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trh144lvk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Function carga_csv_bq_bronze_dev</w:t>
              <w:tab/>
              <w:t xml:space="preserve">12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wo4edbfs0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Dataform para gestión de transformaciones en BigQuery</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2xa1bfuqcl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git en Dataform para gestión de transformaciones en BigQuery</w:t>
              <w:tab/>
              <w:t xml:space="preserve">16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7ef28qqx9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BigQuery</w:t>
              <w:tab/>
              <w:t xml:space="preserve">18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lh1ys6pk4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Looker Studio</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xnu7n30sj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y Gobernanza</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n0n81p7bhvve" w:id="1"/>
      <w:bookmarkEnd w:id="1"/>
      <w:r w:rsidDel="00000000" w:rsidR="00000000" w:rsidRPr="00000000">
        <w:rPr>
          <w:rtl w:val="0"/>
        </w:rPr>
      </w:r>
    </w:p>
    <w:p w:rsidR="00000000" w:rsidDel="00000000" w:rsidP="00000000" w:rsidRDefault="00000000" w:rsidRPr="00000000" w14:paraId="00000019">
      <w:pPr>
        <w:pStyle w:val="Heading1"/>
        <w:rPr/>
      </w:pPr>
      <w:bookmarkStart w:colFirst="0" w:colLast="0" w:name="_y9984tx8kmqj" w:id="2"/>
      <w:bookmarkEnd w:id="2"/>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pPr>
      <w:bookmarkStart w:colFirst="0" w:colLast="0" w:name="_33j60uzdcc4f" w:id="3"/>
      <w:bookmarkEnd w:id="3"/>
      <w:r w:rsidDel="00000000" w:rsidR="00000000" w:rsidRPr="00000000">
        <w:rPr>
          <w:rtl w:val="0"/>
        </w:rPr>
        <w:t xml:space="preserve">Objetivo</w:t>
      </w:r>
    </w:p>
    <w:p w:rsidR="00000000" w:rsidDel="00000000" w:rsidP="00000000" w:rsidRDefault="00000000" w:rsidRPr="00000000" w14:paraId="0000001B">
      <w:pPr>
        <w:rPr/>
      </w:pPr>
      <w:r w:rsidDel="00000000" w:rsidR="00000000" w:rsidRPr="00000000">
        <w:rPr>
          <w:rtl w:val="0"/>
        </w:rPr>
        <w:t xml:space="preserve">Diseñar y desarrollar un Data Warehouse alojado en GCP que optimice la carga diaria de información, entrenar un modelo ML predictivo para un caso de negocio y la generación de informes y dashboards de la empresa HVR.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p8lbwo2o436j" w:id="4"/>
      <w:bookmarkEnd w:id="4"/>
      <w:r w:rsidDel="00000000" w:rsidR="00000000" w:rsidRPr="00000000">
        <w:rPr>
          <w:rtl w:val="0"/>
        </w:rPr>
        <w:t xml:space="preserve">Alcance </w:t>
      </w:r>
    </w:p>
    <w:p w:rsidR="00000000" w:rsidDel="00000000" w:rsidP="00000000" w:rsidRDefault="00000000" w:rsidRPr="00000000" w14:paraId="0000001E">
      <w:pPr>
        <w:rPr/>
      </w:pPr>
      <w:r w:rsidDel="00000000" w:rsidR="00000000" w:rsidRPr="00000000">
        <w:rPr>
          <w:rtl w:val="0"/>
        </w:rPr>
        <w:t xml:space="preserve">El proyecto busca construir un data warehouse en Google Cloud Platform (GCP) para la carga y transformación de datos a BigQuery. Incluirá la creación de un flujo de datos con capas raw, silver y gold, el uso de BigQuery ML para entrenar un modelo de regresión lineal, y la generación de informes de BI personalizados mediante Looker Studio.</w:t>
      </w:r>
    </w:p>
    <w:p w:rsidR="00000000" w:rsidDel="00000000" w:rsidP="00000000" w:rsidRDefault="00000000" w:rsidRPr="00000000" w14:paraId="0000001F">
      <w:pPr>
        <w:rPr/>
      </w:pPr>
      <w:r w:rsidDel="00000000" w:rsidR="00000000" w:rsidRPr="00000000">
        <w:rPr>
          <w:rtl w:val="0"/>
        </w:rPr>
        <w:t xml:space="preserve">Dentro de los objetivos se encuentran los siguientes puntos:</w:t>
      </w:r>
    </w:p>
    <w:p w:rsidR="00000000" w:rsidDel="00000000" w:rsidP="00000000" w:rsidRDefault="00000000" w:rsidRPr="00000000" w14:paraId="00000020">
      <w:pPr>
        <w:numPr>
          <w:ilvl w:val="0"/>
          <w:numId w:val="6"/>
        </w:numPr>
        <w:ind w:left="720" w:hanging="360"/>
      </w:pPr>
      <w:r w:rsidDel="00000000" w:rsidR="00000000" w:rsidRPr="00000000">
        <w:rPr>
          <w:rtl w:val="0"/>
        </w:rPr>
        <w:t xml:space="preserve">Configuración de la infraestructura en GCP: Configuración de buckets, políticas de retención de almacenamiento,conjuntos de datos en BigQuery, permisos en BigQuery, Cloud Functions para la carga de datos, Configuración de git en Dataform, BigQuery ML para Machine Learning, Looker Studio para dashboards interactivos, roles y permisos  (IAM), etc.</w:t>
      </w:r>
    </w:p>
    <w:p w:rsidR="00000000" w:rsidDel="00000000" w:rsidP="00000000" w:rsidRDefault="00000000" w:rsidRPr="00000000" w14:paraId="00000021">
      <w:pPr>
        <w:numPr>
          <w:ilvl w:val="0"/>
          <w:numId w:val="6"/>
        </w:numPr>
        <w:ind w:left="720" w:hanging="360"/>
      </w:pPr>
      <w:r w:rsidDel="00000000" w:rsidR="00000000" w:rsidRPr="00000000">
        <w:rPr>
          <w:rtl w:val="0"/>
        </w:rPr>
        <w:t xml:space="preserve">Extracción de Datos en CSV: Extraer datos en formato CSV desde un servidor SQL Server externo hacia Google Cloud Storage.</w:t>
      </w:r>
    </w:p>
    <w:p w:rsidR="00000000" w:rsidDel="00000000" w:rsidP="00000000" w:rsidRDefault="00000000" w:rsidRPr="00000000" w14:paraId="00000022">
      <w:pPr>
        <w:numPr>
          <w:ilvl w:val="0"/>
          <w:numId w:val="6"/>
        </w:numPr>
        <w:ind w:left="720" w:hanging="360"/>
      </w:pPr>
      <w:r w:rsidDel="00000000" w:rsidR="00000000" w:rsidRPr="00000000">
        <w:rPr>
          <w:rtl w:val="0"/>
        </w:rPr>
        <w:t xml:space="preserve">Optimización del Proceso de ETL: Cargar datos desde los CSV y transformarlos en BigQuery a través de distintas capas (raw, silver y gold).</w:t>
      </w:r>
    </w:p>
    <w:p w:rsidR="00000000" w:rsidDel="00000000" w:rsidP="00000000" w:rsidRDefault="00000000" w:rsidRPr="00000000" w14:paraId="00000023">
      <w:pPr>
        <w:numPr>
          <w:ilvl w:val="0"/>
          <w:numId w:val="6"/>
        </w:numPr>
        <w:ind w:left="720" w:hanging="360"/>
      </w:pPr>
      <w:r w:rsidDel="00000000" w:rsidR="00000000" w:rsidRPr="00000000">
        <w:rPr>
          <w:rtl w:val="0"/>
        </w:rPr>
        <w:t xml:space="preserve">Creación de un Modelo Estrella: Organizar los datos en la capa gold usando un modelo estrella que optimice las consultas y el análisis.</w:t>
      </w:r>
    </w:p>
    <w:p w:rsidR="00000000" w:rsidDel="00000000" w:rsidP="00000000" w:rsidRDefault="00000000" w:rsidRPr="00000000" w14:paraId="00000024">
      <w:pPr>
        <w:numPr>
          <w:ilvl w:val="0"/>
          <w:numId w:val="6"/>
        </w:numPr>
        <w:ind w:left="720" w:hanging="360"/>
      </w:pPr>
      <w:r w:rsidDel="00000000" w:rsidR="00000000" w:rsidRPr="00000000">
        <w:rPr>
          <w:rtl w:val="0"/>
        </w:rPr>
        <w:t xml:space="preserve">Entrenamiento de un Modelo de ML: Usar BigQuery ML para entrenar un modelo de regresión lineal sobre los datos transformados.</w:t>
      </w:r>
    </w:p>
    <w:p w:rsidR="00000000" w:rsidDel="00000000" w:rsidP="00000000" w:rsidRDefault="00000000" w:rsidRPr="00000000" w14:paraId="00000025">
      <w:pPr>
        <w:numPr>
          <w:ilvl w:val="0"/>
          <w:numId w:val="6"/>
        </w:numPr>
        <w:ind w:left="720" w:hanging="360"/>
      </w:pPr>
      <w:r w:rsidDel="00000000" w:rsidR="00000000" w:rsidRPr="00000000">
        <w:rPr>
          <w:rtl w:val="0"/>
        </w:rPr>
        <w:t xml:space="preserve">Visualización y Reporting: Generar informes dinámicos en Looker Studio con roles de acceso controlados.</w:t>
      </w:r>
    </w:p>
    <w:p w:rsidR="00000000" w:rsidDel="00000000" w:rsidP="00000000" w:rsidRDefault="00000000" w:rsidRPr="00000000" w14:paraId="00000026">
      <w:pPr>
        <w:numPr>
          <w:ilvl w:val="0"/>
          <w:numId w:val="6"/>
        </w:numPr>
        <w:ind w:left="720" w:hanging="360"/>
      </w:pPr>
      <w:r w:rsidDel="00000000" w:rsidR="00000000" w:rsidRPr="00000000">
        <w:rPr>
          <w:rtl w:val="0"/>
        </w:rPr>
        <w:t xml:space="preserve">Seguridad, Monitoreo y Alertas: Garantizar la protección de los datos y el monitoreo continuo de los flujos de trabajo, con alertas ante fallos o comportamientos anómalos.</w:t>
      </w:r>
    </w:p>
    <w:p w:rsidR="00000000" w:rsidDel="00000000" w:rsidP="00000000" w:rsidRDefault="00000000" w:rsidRPr="00000000" w14:paraId="00000027">
      <w:pPr>
        <w:numPr>
          <w:ilvl w:val="0"/>
          <w:numId w:val="6"/>
        </w:numPr>
        <w:ind w:left="720" w:hanging="360"/>
      </w:pPr>
      <w:r w:rsidDel="00000000" w:rsidR="00000000" w:rsidRPr="00000000">
        <w:rPr>
          <w:rtl w:val="0"/>
        </w:rPr>
        <w:t xml:space="preserve">Gestión de Metadatos: Utilizar Data Catalog para organizar, clasificar y documentar los datasets y tablas, facilitando su búsqueda y gestión.</w:t>
      </w:r>
    </w:p>
    <w:p w:rsidR="00000000" w:rsidDel="00000000" w:rsidP="00000000" w:rsidRDefault="00000000" w:rsidRPr="00000000" w14:paraId="00000028">
      <w:pPr>
        <w:numPr>
          <w:ilvl w:val="0"/>
          <w:numId w:val="6"/>
        </w:numPr>
        <w:ind w:left="720" w:hanging="360"/>
      </w:pPr>
      <w:r w:rsidDel="00000000" w:rsidR="00000000" w:rsidRPr="00000000">
        <w:rPr>
          <w:rtl w:val="0"/>
        </w:rPr>
        <w:t xml:space="preserve">Automatización y Orquestación: Implementar Google Cloud Workflows para gestionar y automatizar el flujo de trabajo de ETL.</w:t>
      </w:r>
    </w:p>
    <w:p w:rsidR="00000000" w:rsidDel="00000000" w:rsidP="00000000" w:rsidRDefault="00000000" w:rsidRPr="00000000" w14:paraId="00000029">
      <w:pPr>
        <w:numPr>
          <w:ilvl w:val="0"/>
          <w:numId w:val="6"/>
        </w:numPr>
        <w:ind w:left="720" w:hanging="360"/>
      </w:pPr>
      <w:r w:rsidDel="00000000" w:rsidR="00000000" w:rsidRPr="00000000">
        <w:rPr>
          <w:rtl w:val="0"/>
        </w:rPr>
        <w:t xml:space="preserve">Almacenamiento Intermedio: Utilizar Google Cloud Storage (GCS) para almacenar temporalmente datos intermedios durante el proceso de ETL.</w:t>
      </w:r>
    </w:p>
    <w:p w:rsidR="00000000" w:rsidDel="00000000" w:rsidP="00000000" w:rsidRDefault="00000000" w:rsidRPr="00000000" w14:paraId="0000002A">
      <w:pPr>
        <w:pStyle w:val="Heading1"/>
        <w:rPr>
          <w:rFonts w:ascii="Arial" w:cs="Arial" w:eastAsia="Arial" w:hAnsi="Arial"/>
          <w:b w:val="1"/>
          <w:color w:val="000000"/>
        </w:rPr>
      </w:pPr>
      <w:bookmarkStart w:colFirst="0" w:colLast="0" w:name="_ibpfa2vneaj8" w:id="5"/>
      <w:bookmarkEnd w:id="5"/>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pStyle w:val="Heading1"/>
        <w:spacing w:after="0" w:before="0" w:lineRule="auto"/>
        <w:rPr/>
      </w:pPr>
      <w:bookmarkStart w:colFirst="0" w:colLast="0" w:name="_nu7ieggb6w0v" w:id="6"/>
      <w:bookmarkEnd w:id="6"/>
      <w:r w:rsidDel="00000000" w:rsidR="00000000" w:rsidRPr="00000000">
        <w:rPr>
          <w:rtl w:val="0"/>
        </w:rPr>
        <w:t xml:space="preserve">Arquitectura </w:t>
      </w:r>
      <w:r w:rsidDel="00000000" w:rsidR="00000000" w:rsidRPr="00000000">
        <w:rPr>
          <w:rtl w:val="0"/>
        </w:rPr>
      </w:r>
    </w:p>
    <w:p w:rsidR="00000000" w:rsidDel="00000000" w:rsidP="00000000" w:rsidRDefault="00000000" w:rsidRPr="00000000" w14:paraId="0000002C">
      <w:pPr>
        <w:pBdr>
          <w:bottom w:color="auto" w:space="0" w:sz="0" w:val="none"/>
        </w:pBdr>
        <w:spacing w:after="0" w:before="0" w:lineRule="auto"/>
        <w:rPr/>
      </w:pPr>
      <w:r w:rsidDel="00000000" w:rsidR="00000000" w:rsidRPr="00000000">
        <w:rPr/>
        <w:drawing>
          <wp:inline distB="114300" distT="114300" distL="114300" distR="114300">
            <wp:extent cx="5943600" cy="3225800"/>
            <wp:effectExtent b="0" l="0" r="0" t="0"/>
            <wp:docPr id="6"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bottom w:color="auto" w:space="0" w:sz="0" w:val="none"/>
        </w:pBdr>
        <w:spacing w:after="0" w:before="0" w:lineRule="auto"/>
        <w:rPr/>
      </w:pPr>
      <w:r w:rsidDel="00000000" w:rsidR="00000000" w:rsidRPr="00000000">
        <w:rPr>
          <w:rtl w:val="0"/>
        </w:rPr>
        <w:t xml:space="preserve">Utilizaremos Google Cloud Platform para implementar un Data Warehouse escalable y seguro, diseñado para la integración de datos desde sistemas de negocio hacia capas de transformación en BigQuery, utilizando una arquitectura en medallones (bronze, silver, y gold). Esto permite una organización jerárquica y estructurada de los datos que facilita su procesamiento y análisis.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Para realizar el flujo de datos implementaremos diferentes servicios de GCP que nos ayudarán a automatizar y ejecutar cada etapa.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jl92r9pe71ht" w:id="7"/>
      <w:bookmarkEnd w:id="7"/>
      <w:r w:rsidDel="00000000" w:rsidR="00000000" w:rsidRPr="00000000">
        <w:rPr>
          <w:rtl w:val="0"/>
        </w:rPr>
        <w:t xml:space="preserve">Origen de Datos</w:t>
      </w:r>
    </w:p>
    <w:p w:rsidR="00000000" w:rsidDel="00000000" w:rsidP="00000000" w:rsidRDefault="00000000" w:rsidRPr="00000000" w14:paraId="00000031">
      <w:pPr>
        <w:pStyle w:val="Heading2"/>
        <w:rPr/>
      </w:pPr>
      <w:bookmarkStart w:colFirst="0" w:colLast="0" w:name="_jybgj3lcoa2a" w:id="8"/>
      <w:bookmarkEnd w:id="8"/>
      <w:r w:rsidDel="00000000" w:rsidR="00000000" w:rsidRPr="00000000">
        <w:rPr>
          <w:rtl w:val="0"/>
        </w:rPr>
        <w:t xml:space="preserve">Realizar pruebas de conexión desde el servidor local a GCP</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Se realiza el proceso de configuración de una conexión segura y estable entre el servidor del cliente y el bucket de Google Cloud Platform (GCP) raw_data_hvr_dev, con el objetivo de automatizar la carga diaria de archivos CSV. El proceso incluyó la creación de una cuenta de servicio en GCP con permisos específicos, la configuración de una key en el servidor del cliente para acceso seguro, y la verificación de la correcta transferencia de archivos.</w:t>
      </w:r>
    </w:p>
    <w:p w:rsidR="00000000" w:rsidDel="00000000" w:rsidP="00000000" w:rsidRDefault="00000000" w:rsidRPr="00000000" w14:paraId="00000034">
      <w:pPr>
        <w:rPr/>
      </w:pPr>
      <w:r w:rsidDel="00000000" w:rsidR="00000000" w:rsidRPr="00000000">
        <w:rPr>
          <w:rtl w:val="0"/>
        </w:rPr>
        <w:t xml:space="preserve">El objetivo principal fue asegurar un flujo de datos confiable y seguro para la carga de documentos CSV desde el servidor hacia el bucket en GCP. Para esto, se llevaron a cabo varias actividades, incluyendo la creación y configuración de una cuenta de servicio, la generación de una key de acceso, y la ejecución de pruebas de carga automática de archivos.</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Creación de la cuenta de servicio:</w:t>
      </w:r>
    </w:p>
    <w:p w:rsidR="00000000" w:rsidDel="00000000" w:rsidP="00000000" w:rsidRDefault="00000000" w:rsidRPr="00000000" w14:paraId="00000037">
      <w:pPr>
        <w:rPr/>
      </w:pPr>
      <w:r w:rsidDel="00000000" w:rsidR="00000000" w:rsidRPr="00000000">
        <w:rPr>
          <w:rtl w:val="0"/>
        </w:rPr>
        <w:t xml:space="preserve">Se crea una cuenta de servicio con permisos de administrador sobre el bucket raw_data_hvr_dev.</w:t>
      </w:r>
    </w:p>
    <w:p w:rsidR="00000000" w:rsidDel="00000000" w:rsidP="00000000" w:rsidRDefault="00000000" w:rsidRPr="00000000" w14:paraId="00000038">
      <w:pPr>
        <w:rPr/>
      </w:pPr>
      <w:r w:rsidDel="00000000" w:rsidR="00000000" w:rsidRPr="00000000">
        <w:rPr/>
        <w:drawing>
          <wp:inline distB="114300" distT="114300" distL="114300" distR="114300">
            <wp:extent cx="3870118" cy="3116300"/>
            <wp:effectExtent b="0" l="0" r="0" t="0"/>
            <wp:docPr id="39"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3870118" cy="3116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Creación de Key de acceso </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Se crea una Key para conexión segura desde el servidor de cliente HVR hacia el bucket raw_data_hvr_dev</w:t>
      </w:r>
    </w:p>
    <w:p w:rsidR="00000000" w:rsidDel="00000000" w:rsidP="00000000" w:rsidRDefault="00000000" w:rsidRPr="00000000" w14:paraId="0000003C">
      <w:pPr>
        <w:rPr/>
      </w:pPr>
      <w:r w:rsidDel="00000000" w:rsidR="00000000" w:rsidRPr="00000000">
        <w:rPr/>
        <w:drawing>
          <wp:inline distB="114300" distT="114300" distL="114300" distR="114300">
            <wp:extent cx="5731200" cy="6350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Evidencia de log entregados por el cliente:</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Archivo log con la secuencia de carga de datos hacia el Bucket</w:t>
      </w:r>
    </w:p>
    <w:p w:rsidR="00000000" w:rsidDel="00000000" w:rsidP="00000000" w:rsidRDefault="00000000" w:rsidRPr="00000000" w14:paraId="00000040">
      <w:pPr>
        <w:rPr/>
      </w:pPr>
      <w:r w:rsidDel="00000000" w:rsidR="00000000" w:rsidRPr="00000000">
        <w:rPr/>
        <w:drawing>
          <wp:inline distB="114300" distT="114300" distL="114300" distR="114300">
            <wp:extent cx="5731200" cy="41656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Evidencia de documentos alojados en el bucket:</w:t>
      </w:r>
    </w:p>
    <w:p w:rsidR="00000000" w:rsidDel="00000000" w:rsidP="00000000" w:rsidRDefault="00000000" w:rsidRPr="00000000" w14:paraId="00000045">
      <w:pPr>
        <w:rPr/>
      </w:pPr>
      <w:r w:rsidDel="00000000" w:rsidR="00000000" w:rsidRPr="00000000">
        <w:rPr/>
        <w:drawing>
          <wp:inline distB="114300" distT="114300" distL="114300" distR="114300">
            <wp:extent cx="5731200" cy="2832100"/>
            <wp:effectExtent b="0" l="0" r="0" t="0"/>
            <wp:docPr id="29"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rFonts w:ascii="Arial" w:cs="Arial" w:eastAsia="Arial" w:hAnsi="Arial"/>
          <w:b w:val="1"/>
          <w:color w:val="000000"/>
        </w:rPr>
      </w:pPr>
      <w:bookmarkStart w:colFirst="0" w:colLast="0" w:name="_ddqhh944f5lu" w:id="9"/>
      <w:bookmarkEnd w:id="9"/>
      <w:r w:rsidDel="00000000" w:rsidR="00000000" w:rsidRPr="00000000">
        <w:rPr>
          <w:rFonts w:ascii="Arial" w:cs="Arial" w:eastAsia="Arial" w:hAnsi="Arial"/>
          <w:b w:val="1"/>
          <w:color w:val="000000"/>
          <w:rtl w:val="0"/>
        </w:rPr>
        <w:t xml:space="preserve">Configuración de Buckets en Cloud Storage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Para realizar la creación de los Buckets en Cloud Storage daremos inicio al proyecto HVR en GCP.</w:t>
      </w:r>
    </w:p>
    <w:p w:rsidR="00000000" w:rsidDel="00000000" w:rsidP="00000000" w:rsidRDefault="00000000" w:rsidRPr="00000000" w14:paraId="00000049">
      <w:pPr>
        <w:rPr/>
      </w:pPr>
      <w:r w:rsidDel="00000000" w:rsidR="00000000" w:rsidRPr="00000000">
        <w:rPr>
          <w:rtl w:val="0"/>
        </w:rPr>
        <w:t xml:space="preserve">Para el proyecto se implementarán 3 ambientes de trabajo con el objetivo de separar bien los roles asignados dentro del proyecto y proteger los datos.</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Ambiente de desarrollo(Dev)</w:t>
      </w:r>
    </w:p>
    <w:p w:rsidR="00000000" w:rsidDel="00000000" w:rsidP="00000000" w:rsidRDefault="00000000" w:rsidRPr="00000000" w14:paraId="0000004C">
      <w:pPr>
        <w:rPr/>
      </w:pPr>
      <w:r w:rsidDel="00000000" w:rsidR="00000000" w:rsidRPr="00000000">
        <w:rPr>
          <w:rtl w:val="0"/>
        </w:rPr>
        <w:t xml:space="preserve">Aquí los desarrolladores podrán probar las modificaciones o integraciones sin el riesgo de afectar los datos reales del proyecto, realizando ajustes de códigos, configuraciones, etc.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Ambiente QA </w:t>
      </w:r>
    </w:p>
    <w:p w:rsidR="00000000" w:rsidDel="00000000" w:rsidP="00000000" w:rsidRDefault="00000000" w:rsidRPr="00000000" w14:paraId="0000004F">
      <w:pPr>
        <w:rPr/>
      </w:pPr>
      <w:r w:rsidDel="00000000" w:rsidR="00000000" w:rsidRPr="00000000">
        <w:rPr>
          <w:rtl w:val="0"/>
        </w:rPr>
        <w:t xml:space="preserve">En este ambiente se realizarán pruebas evaluando si los cambios realizados están bien y no generen errores a futuro.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t xml:space="preserve"> </w:t>
      </w:r>
      <w:r w:rsidDel="00000000" w:rsidR="00000000" w:rsidRPr="00000000">
        <w:rPr>
          <w:b w:val="1"/>
          <w:rtl w:val="0"/>
        </w:rPr>
        <w:t xml:space="preserve">Ambiente Producción (Prod)</w:t>
      </w:r>
    </w:p>
    <w:p w:rsidR="00000000" w:rsidDel="00000000" w:rsidP="00000000" w:rsidRDefault="00000000" w:rsidRPr="00000000" w14:paraId="00000052">
      <w:pPr>
        <w:rPr/>
      </w:pPr>
      <w:r w:rsidDel="00000000" w:rsidR="00000000" w:rsidRPr="00000000">
        <w:rPr>
          <w:rtl w:val="0"/>
        </w:rPr>
        <w:t xml:space="preserve">Es el paso final para implementar los cambios realizados en un código, una vez que hayan pasado por Dev y QA finalmente en producción se desplegarán las modificaciones sin riesgo de afectar los datos del proyecto.</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Dentro de cada ambiente se crearán los buckets correspondientes a  “raw_data_hvr", "error_raw_data_hvr", “temp_data_hvr“, “clean_data_hvr” y “history_data“ dentro de Cloud Storage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Bucket raw_data_hvr_dev</w:t>
      </w:r>
    </w:p>
    <w:p w:rsidR="00000000" w:rsidDel="00000000" w:rsidP="00000000" w:rsidRDefault="00000000" w:rsidRPr="00000000" w14:paraId="00000057">
      <w:pPr>
        <w:rPr/>
      </w:pPr>
      <w:r w:rsidDel="00000000" w:rsidR="00000000" w:rsidRPr="00000000">
        <w:rPr>
          <w:rtl w:val="0"/>
        </w:rPr>
        <w:t xml:space="preserve">En este bucket se almacenarán todos los datos que llegan desde el servidor de la empresa HVR, los archivos que se cargarán serán en formatos csv.</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Al ser cargados automáticamente una cloud function realizará el proceso de limpieza y carga de datos a Big Query dentro del dataset Bronze.</w:t>
      </w:r>
    </w:p>
    <w:p w:rsidR="00000000" w:rsidDel="00000000" w:rsidP="00000000" w:rsidRDefault="00000000" w:rsidRPr="00000000" w14:paraId="0000005A">
      <w:pPr>
        <w:rPr/>
      </w:pPr>
      <w:r w:rsidDel="00000000" w:rsidR="00000000" w:rsidRPr="00000000">
        <w:rPr/>
        <w:drawing>
          <wp:inline distB="114300" distT="114300" distL="114300" distR="114300">
            <wp:extent cx="5731200" cy="26543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Bucket error_raw_data</w:t>
      </w:r>
    </w:p>
    <w:p w:rsidR="00000000" w:rsidDel="00000000" w:rsidP="00000000" w:rsidRDefault="00000000" w:rsidRPr="00000000" w14:paraId="0000005F">
      <w:pPr>
        <w:rPr/>
      </w:pPr>
      <w:r w:rsidDel="00000000" w:rsidR="00000000" w:rsidRPr="00000000">
        <w:rPr>
          <w:rtl w:val="0"/>
        </w:rPr>
        <w:t xml:space="preserve">En este bucket se almacenarán los datos erróneos de carga de datos.</w:t>
      </w:r>
    </w:p>
    <w:p w:rsidR="00000000" w:rsidDel="00000000" w:rsidP="00000000" w:rsidRDefault="00000000" w:rsidRPr="00000000" w14:paraId="00000060">
      <w:pPr>
        <w:rPr/>
      </w:pPr>
      <w:r w:rsidDel="00000000" w:rsidR="00000000" w:rsidRPr="00000000">
        <w:rPr>
          <w:rtl w:val="0"/>
        </w:rPr>
        <w:t xml:space="preserve">Si un archivo tiene un error en el proceso de limpieza automáticamente se genera un archivo csv, el cual es guardado en este bucket con el nombre del documento más la fecha de ejecución.</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Dentro de este archivo se registra la fila donde se debería encontrar el dato erróneo que no se pudo cargar a  la tabla correspondiente.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En la imagen podemos visualizar que el archivo “Tesmov_errores_02_11_2024.csv”  tiene errores registrados.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927100"/>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El error registrado se visualiza con los datos de la fila completa, el cual se debería analizar de forma manual para que se solucione y vuelva a pasar por todo el proceso de limpieza y carga de datos.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1200" cy="1143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Bucket temp_data</w:t>
      </w:r>
    </w:p>
    <w:p w:rsidR="00000000" w:rsidDel="00000000" w:rsidP="00000000" w:rsidRDefault="00000000" w:rsidRPr="00000000" w14:paraId="0000006E">
      <w:pPr>
        <w:rPr/>
      </w:pPr>
      <w:r w:rsidDel="00000000" w:rsidR="00000000" w:rsidRPr="00000000">
        <w:rPr>
          <w:rtl w:val="0"/>
        </w:rPr>
        <w:t xml:space="preserve">En este Bucket se guardan archivos temporales mientras se va realizando el proceso de limpieza y carga de datos, se crea una tabla temporal en el dataset Bronze “ctabancos_bronze_temp“, el cual se elimina cuando está listo el proceso de carga de datos quedando con el nombre “ctabancos_bronze”.  </w:t>
      </w:r>
    </w:p>
    <w:p w:rsidR="00000000" w:rsidDel="00000000" w:rsidP="00000000" w:rsidRDefault="00000000" w:rsidRPr="00000000" w14:paraId="0000006F">
      <w:pPr>
        <w:rPr>
          <w:b w:val="1"/>
        </w:rPr>
      </w:pPr>
      <w:r w:rsidDel="00000000" w:rsidR="00000000" w:rsidRPr="00000000">
        <w:rPr/>
        <w:drawing>
          <wp:inline distB="114300" distT="114300" distL="114300" distR="114300">
            <wp:extent cx="5731200" cy="2755900"/>
            <wp:effectExtent b="0" l="0" r="0" t="0"/>
            <wp:docPr id="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31200" cy="2755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Bucket clean_data</w:t>
      </w:r>
    </w:p>
    <w:p w:rsidR="00000000" w:rsidDel="00000000" w:rsidP="00000000" w:rsidRDefault="00000000" w:rsidRPr="00000000" w14:paraId="00000071">
      <w:pPr>
        <w:rPr/>
      </w:pPr>
      <w:r w:rsidDel="00000000" w:rsidR="00000000" w:rsidRPr="00000000">
        <w:rPr>
          <w:rtl w:val="0"/>
        </w:rPr>
        <w:t xml:space="preserve">Se almacenan los archivos que hayan pasado por el proceso de limpieza en csv.</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2628900"/>
            <wp:effectExtent b="0" l="0" r="0" t="0"/>
            <wp:docPr id="34"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Bucket history_data</w:t>
      </w:r>
    </w:p>
    <w:p w:rsidR="00000000" w:rsidDel="00000000" w:rsidP="00000000" w:rsidRDefault="00000000" w:rsidRPr="00000000" w14:paraId="00000076">
      <w:pPr>
        <w:rPr/>
      </w:pPr>
      <w:r w:rsidDel="00000000" w:rsidR="00000000" w:rsidRPr="00000000">
        <w:rPr>
          <w:rtl w:val="0"/>
        </w:rPr>
        <w:t xml:space="preserve">Se almacenan los csv procesados y almacenados en el dataset bronze con el nombre y fecha de ejecución.</w:t>
      </w:r>
    </w:p>
    <w:p w:rsidR="00000000" w:rsidDel="00000000" w:rsidP="00000000" w:rsidRDefault="00000000" w:rsidRPr="00000000" w14:paraId="00000077">
      <w:pPr>
        <w:rPr/>
      </w:pPr>
      <w:r w:rsidDel="00000000" w:rsidR="00000000" w:rsidRPr="00000000">
        <w:rPr/>
        <w:drawing>
          <wp:inline distB="114300" distT="114300" distL="114300" distR="114300">
            <wp:extent cx="5731200" cy="2616200"/>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pBdr>
          <w:bottom w:color="auto" w:space="0" w:sz="0" w:val="none"/>
        </w:pBdr>
        <w:spacing w:after="0" w:before="0" w:lineRule="auto"/>
        <w:jc w:val="left"/>
        <w:rPr>
          <w:rFonts w:ascii="Arial" w:cs="Arial" w:eastAsia="Arial" w:hAnsi="Arial"/>
          <w:b w:val="1"/>
          <w:color w:val="000000"/>
        </w:rPr>
      </w:pPr>
      <w:bookmarkStart w:colFirst="0" w:colLast="0" w:name="_kf5423uq17in" w:id="10"/>
      <w:bookmarkEnd w:id="10"/>
      <w:r w:rsidDel="00000000" w:rsidR="00000000" w:rsidRPr="00000000">
        <w:rPr>
          <w:rFonts w:ascii="Arial" w:cs="Arial" w:eastAsia="Arial" w:hAnsi="Arial"/>
          <w:b w:val="1"/>
          <w:color w:val="000000"/>
          <w:rtl w:val="0"/>
        </w:rPr>
        <w:t xml:space="preserve">Cloud Functions para la carga de datos en BigQuery</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Para la carga de datos se crearon 3 Cloud Function, cada una con una función distinta, las cuales se explicarán a continuación: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Cloud Function limpieza_csv_dev</w:t>
      </w:r>
    </w:p>
    <w:p w:rsidR="00000000" w:rsidDel="00000000" w:rsidP="00000000" w:rsidRDefault="00000000" w:rsidRPr="00000000" w14:paraId="0000007F">
      <w:pPr>
        <w:rPr/>
      </w:pPr>
      <w:r w:rsidDel="00000000" w:rsidR="00000000" w:rsidRPr="00000000">
        <w:rPr>
          <w:rtl w:val="0"/>
        </w:rPr>
        <w:t xml:space="preserve">Esta Cloud Function se activa automáticamente cuando un archivo CSV se carga en un Bucket específico de Google Cloud Storage (GCS). Su propósito principal es realizar una limpieza y validación de los datos en el archivo y guardar el archivo ya procesado en un Bucket final clean_raw_data_hvr_dev. Además, Almacena todas las filas inválidas detectadas que no cumpla con los requisitos de formato en un archivo separado alojado en el Bucket  error_raw_data_hvr_dev.</w:t>
      </w:r>
    </w:p>
    <w:p w:rsidR="00000000" w:rsidDel="00000000" w:rsidP="00000000" w:rsidRDefault="00000000" w:rsidRPr="00000000" w14:paraId="00000080">
      <w:pPr>
        <w:rPr/>
      </w:pPr>
      <w:r w:rsidDel="00000000" w:rsidR="00000000" w:rsidRPr="00000000">
        <w:rPr/>
        <w:drawing>
          <wp:inline distB="114300" distT="114300" distL="114300" distR="114300">
            <wp:extent cx="5731200" cy="2273300"/>
            <wp:effectExtent b="0" l="0" r="0" t="0"/>
            <wp:docPr id="38"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rPr/>
      </w:pPr>
      <w:bookmarkStart w:colFirst="0" w:colLast="0" w:name="_z3u3nvez2jm7" w:id="11"/>
      <w:bookmarkEnd w:id="11"/>
      <w:r w:rsidDel="00000000" w:rsidR="00000000" w:rsidRPr="00000000">
        <w:rPr>
          <w:rtl w:val="0"/>
        </w:rPr>
        <w:t xml:space="preserve">Cloud Function lector_de_bucket_dev</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La Cloud Function es una función HTTP que se utiliza para obtener una lista de archivos en el bucket especificado, verifica si existe una tabla en BigQuery correspondiente para cada archivo, y si existe, procede a invocar la cloud function carga_csv_bq_bronze con sus parámetros correspondientes, una vez procesado se guarda un archivo histórico del csv procesado en el bucket history_raw_hvr. Si no existe una tabla correspondiente, el archivo se omite.</w:t>
      </w:r>
    </w:p>
    <w:p w:rsidR="00000000" w:rsidDel="00000000" w:rsidP="00000000" w:rsidRDefault="00000000" w:rsidRPr="00000000" w14:paraId="00000083">
      <w:pPr>
        <w:rPr/>
      </w:pPr>
      <w:r w:rsidDel="00000000" w:rsidR="00000000" w:rsidRPr="00000000">
        <w:rPr/>
        <w:drawing>
          <wp:inline distB="114300" distT="114300" distL="114300" distR="114300">
            <wp:extent cx="5731200" cy="2349500"/>
            <wp:effectExtent b="0" l="0" r="0" t="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3trh144lvkv5" w:id="12"/>
      <w:bookmarkEnd w:id="12"/>
      <w:r w:rsidDel="00000000" w:rsidR="00000000" w:rsidRPr="00000000">
        <w:rPr>
          <w:rtl w:val="0"/>
        </w:rPr>
        <w:t xml:space="preserve">Cloud Function carga_csv_bq_bronze_dev</w:t>
      </w:r>
    </w:p>
    <w:p w:rsidR="00000000" w:rsidDel="00000000" w:rsidP="00000000" w:rsidRDefault="00000000" w:rsidRPr="00000000" w14:paraId="00000086">
      <w:pPr>
        <w:jc w:val="left"/>
        <w:rPr/>
      </w:pPr>
      <w:r w:rsidDel="00000000" w:rsidR="00000000" w:rsidRPr="00000000">
        <w:rPr>
          <w:rtl w:val="0"/>
        </w:rPr>
        <w:t xml:space="preserve">La función es una Cloud Function HTTP diseñada para cargar un archivo CSV desde Google Cloud Storage (GCS) en una tabla temporal de BigQuery y luego realizar una operación de merge con una tabla de destino en BigQuery. Esta función permite la actualización o inserción de registros en la tabla de destino en función de una columna de identificación.</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drawing>
          <wp:inline distB="114300" distT="114300" distL="114300" distR="114300">
            <wp:extent cx="5731200" cy="2349500"/>
            <wp:effectExtent b="0" l="0" r="0" t="0"/>
            <wp:docPr id="32"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pStyle w:val="Heading2"/>
        <w:pBdr>
          <w:bottom w:color="auto" w:space="0" w:sz="0" w:val="none"/>
        </w:pBdr>
        <w:spacing w:after="0" w:before="0" w:lineRule="auto"/>
        <w:rPr>
          <w:rFonts w:ascii="Arial" w:cs="Arial" w:eastAsia="Arial" w:hAnsi="Arial"/>
          <w:b w:val="1"/>
          <w:color w:val="000000"/>
        </w:rPr>
      </w:pPr>
      <w:bookmarkStart w:colFirst="0" w:colLast="0" w:name="_uwo4edbfs052" w:id="13"/>
      <w:bookmarkEnd w:id="13"/>
      <w:r w:rsidDel="00000000" w:rsidR="00000000" w:rsidRPr="00000000">
        <w:rPr>
          <w:rFonts w:ascii="Arial" w:cs="Arial" w:eastAsia="Arial" w:hAnsi="Arial"/>
          <w:b w:val="1"/>
          <w:color w:val="000000"/>
          <w:rtl w:val="0"/>
        </w:rPr>
        <w:t xml:space="preserve">Dataform para gestión de transformaciones en BigQuery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El objetivo de implementar Dataform es automatizar las transformaciones de los datos en bigQuery, optimizando el flujo de trabajo del proceso de datos, estructurando el manejo de transformaciones en las capas Bronze, Silver y Gold, para mejorar la calidad y consistencia de los datos.</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Capas de almacenamiento:</w:t>
      </w:r>
    </w:p>
    <w:p w:rsidR="00000000" w:rsidDel="00000000" w:rsidP="00000000" w:rsidRDefault="00000000" w:rsidRPr="00000000" w14:paraId="00000090">
      <w:pPr>
        <w:numPr>
          <w:ilvl w:val="0"/>
          <w:numId w:val="5"/>
        </w:numPr>
        <w:ind w:left="720" w:hanging="360"/>
      </w:pPr>
      <w:r w:rsidDel="00000000" w:rsidR="00000000" w:rsidRPr="00000000">
        <w:rPr>
          <w:rtl w:val="0"/>
        </w:rPr>
        <w:t xml:space="preserve">Bronze: Capa de datos sin procesar.</w:t>
      </w:r>
    </w:p>
    <w:p w:rsidR="00000000" w:rsidDel="00000000" w:rsidP="00000000" w:rsidRDefault="00000000" w:rsidRPr="00000000" w14:paraId="00000091">
      <w:pPr>
        <w:numPr>
          <w:ilvl w:val="0"/>
          <w:numId w:val="5"/>
        </w:numPr>
        <w:ind w:left="720" w:hanging="360"/>
      </w:pPr>
      <w:r w:rsidDel="00000000" w:rsidR="00000000" w:rsidRPr="00000000">
        <w:rPr>
          <w:rtl w:val="0"/>
        </w:rPr>
        <w:t xml:space="preserve">Silver: Capa de datos limpios, con transformaciones estándar.</w:t>
      </w:r>
    </w:p>
    <w:p w:rsidR="00000000" w:rsidDel="00000000" w:rsidP="00000000" w:rsidRDefault="00000000" w:rsidRPr="00000000" w14:paraId="00000092">
      <w:pPr>
        <w:numPr>
          <w:ilvl w:val="0"/>
          <w:numId w:val="5"/>
        </w:numPr>
        <w:ind w:left="720" w:hanging="360"/>
      </w:pPr>
      <w:r w:rsidDel="00000000" w:rsidR="00000000" w:rsidRPr="00000000">
        <w:rPr>
          <w:rtl w:val="0"/>
        </w:rPr>
        <w:t xml:space="preserve">Gold: Capa de datos enriquecidos para análisis avanzado.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En Dataform se realizarán los siguiente:</w:t>
      </w:r>
    </w:p>
    <w:p w:rsidR="00000000" w:rsidDel="00000000" w:rsidP="00000000" w:rsidRDefault="00000000" w:rsidRPr="00000000" w14:paraId="00000095">
      <w:pPr>
        <w:numPr>
          <w:ilvl w:val="0"/>
          <w:numId w:val="2"/>
        </w:numPr>
        <w:ind w:left="720" w:hanging="360"/>
      </w:pPr>
      <w:r w:rsidDel="00000000" w:rsidR="00000000" w:rsidRPr="00000000">
        <w:rPr>
          <w:rtl w:val="0"/>
        </w:rPr>
        <w:t xml:space="preserve">Se emplean scripts SQLX para gestionar las transformaciones en cada capa.</w:t>
      </w:r>
    </w:p>
    <w:p w:rsidR="00000000" w:rsidDel="00000000" w:rsidP="00000000" w:rsidRDefault="00000000" w:rsidRPr="00000000" w14:paraId="00000096">
      <w:pPr>
        <w:numPr>
          <w:ilvl w:val="0"/>
          <w:numId w:val="2"/>
        </w:numPr>
        <w:ind w:left="720" w:hanging="360"/>
      </w:pPr>
      <w:r w:rsidDel="00000000" w:rsidR="00000000" w:rsidRPr="00000000">
        <w:rPr>
          <w:rtl w:val="0"/>
        </w:rPr>
        <w:t xml:space="preserve">Particiones: Se implementa la partición diaria en las tablas de la capa silver para optimizar el rendimiento en consultas.</w:t>
      </w:r>
    </w:p>
    <w:p w:rsidR="00000000" w:rsidDel="00000000" w:rsidP="00000000" w:rsidRDefault="00000000" w:rsidRPr="00000000" w14:paraId="00000097">
      <w:pPr>
        <w:numPr>
          <w:ilvl w:val="0"/>
          <w:numId w:val="2"/>
        </w:numPr>
        <w:ind w:left="720" w:hanging="360"/>
      </w:pPr>
      <w:r w:rsidDel="00000000" w:rsidR="00000000" w:rsidRPr="00000000">
        <w:rPr>
          <w:rtl w:val="0"/>
        </w:rPr>
        <w:t xml:space="preserve">Monitoreo: Dataform genera reportes de ejecución y errores, facilitando la revisión de calidad y ajuste de procesos.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Creación de repositorio</w:t>
      </w:r>
    </w:p>
    <w:p w:rsidR="00000000" w:rsidDel="00000000" w:rsidP="00000000" w:rsidRDefault="00000000" w:rsidRPr="00000000" w14:paraId="0000009A">
      <w:pPr>
        <w:rPr/>
      </w:pPr>
      <w:r w:rsidDel="00000000" w:rsidR="00000000" w:rsidRPr="00000000">
        <w:rPr>
          <w:rtl w:val="0"/>
        </w:rPr>
        <w:t xml:space="preserve">Se crea un repositorio dentro de Dataform </w:t>
      </w:r>
    </w:p>
    <w:p w:rsidR="00000000" w:rsidDel="00000000" w:rsidP="00000000" w:rsidRDefault="00000000" w:rsidRPr="00000000" w14:paraId="0000009B">
      <w:pPr>
        <w:numPr>
          <w:ilvl w:val="0"/>
          <w:numId w:val="3"/>
        </w:numPr>
        <w:ind w:left="720" w:hanging="360"/>
      </w:pPr>
      <w:r w:rsidDel="00000000" w:rsidR="00000000" w:rsidRPr="00000000">
        <w:rPr>
          <w:rtl w:val="0"/>
        </w:rPr>
        <w:t xml:space="preserve">Nombre: hvr_data</w:t>
      </w:r>
    </w:p>
    <w:p w:rsidR="00000000" w:rsidDel="00000000" w:rsidP="00000000" w:rsidRDefault="00000000" w:rsidRPr="00000000" w14:paraId="0000009C">
      <w:pPr>
        <w:numPr>
          <w:ilvl w:val="0"/>
          <w:numId w:val="3"/>
        </w:numPr>
        <w:ind w:left="720" w:hanging="360"/>
      </w:pPr>
      <w:r w:rsidDel="00000000" w:rsidR="00000000" w:rsidRPr="00000000">
        <w:rPr>
          <w:rtl w:val="0"/>
        </w:rPr>
        <w:t xml:space="preserve">Ubicacion: us-central</w:t>
      </w:r>
    </w:p>
    <w:p w:rsidR="00000000" w:rsidDel="00000000" w:rsidP="00000000" w:rsidRDefault="00000000" w:rsidRPr="00000000" w14:paraId="0000009D">
      <w:pPr>
        <w:numPr>
          <w:ilvl w:val="0"/>
          <w:numId w:val="3"/>
        </w:numPr>
        <w:ind w:left="720" w:hanging="360"/>
      </w:pPr>
      <w:r w:rsidDel="00000000" w:rsidR="00000000" w:rsidRPr="00000000">
        <w:rPr>
          <w:rtl w:val="0"/>
        </w:rPr>
        <w:t xml:space="preserve">Fuente : </w:t>
      </w:r>
      <w:hyperlink r:id="rId20">
        <w:r w:rsidDel="00000000" w:rsidR="00000000" w:rsidRPr="00000000">
          <w:rPr>
            <w:color w:val="1155cc"/>
            <w:u w:val="single"/>
            <w:rtl w:val="0"/>
          </w:rPr>
          <w:t xml:space="preserve">github.com/ig-pi-cab/Ibex-BI-Scripts.git</w:t>
        </w:r>
      </w:hyperlink>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drawing>
          <wp:inline distB="114300" distT="114300" distL="114300" distR="114300">
            <wp:extent cx="5731200" cy="723900"/>
            <wp:effectExtent b="0" l="0" r="0" t="0"/>
            <wp:docPr id="2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723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0">
      <w:pPr>
        <w:jc w:val="left"/>
        <w:rPr>
          <w:b w:val="1"/>
        </w:rPr>
      </w:pPr>
      <w:r w:rsidDel="00000000" w:rsidR="00000000" w:rsidRPr="00000000">
        <w:rPr>
          <w:b w:val="1"/>
          <w:rtl w:val="0"/>
        </w:rPr>
        <w:t xml:space="preserve">Workspace</w:t>
      </w:r>
    </w:p>
    <w:p w:rsidR="00000000" w:rsidDel="00000000" w:rsidP="00000000" w:rsidRDefault="00000000" w:rsidRPr="00000000" w14:paraId="000000A1">
      <w:pPr>
        <w:jc w:val="left"/>
        <w:rPr/>
      </w:pPr>
      <w:r w:rsidDel="00000000" w:rsidR="00000000" w:rsidRPr="00000000">
        <w:rPr>
          <w:rtl w:val="0"/>
        </w:rPr>
        <w:t xml:space="preserve">Se crea el workspace dataset_silver dentro del repositorio hvr_data, donde se realizarán las transformaciones de los datos.</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drawing>
          <wp:inline distB="114300" distT="114300" distL="114300" distR="114300">
            <wp:extent cx="5731200" cy="2514600"/>
            <wp:effectExtent b="0" l="0" r="0" t="0"/>
            <wp:docPr id="2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t xml:space="preserve">Creación de archivos en formato sqlx de las tablas silver</w:t>
      </w:r>
    </w:p>
    <w:p w:rsidR="00000000" w:rsidDel="00000000" w:rsidP="00000000" w:rsidRDefault="00000000" w:rsidRPr="00000000" w14:paraId="000000A6">
      <w:pPr>
        <w:jc w:val="left"/>
        <w:rPr/>
      </w:pPr>
      <w:r w:rsidDel="00000000" w:rsidR="00000000" w:rsidRPr="00000000">
        <w:rPr/>
        <w:drawing>
          <wp:inline distB="114300" distT="114300" distL="114300" distR="114300">
            <wp:extent cx="4524375" cy="287655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5243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Aprobación de datos transformados correctamente</w:t>
      </w:r>
    </w:p>
    <w:p w:rsidR="00000000" w:rsidDel="00000000" w:rsidP="00000000" w:rsidRDefault="00000000" w:rsidRPr="00000000" w14:paraId="000000AA">
      <w:pPr>
        <w:rPr>
          <w:b w:val="1"/>
        </w:rPr>
      </w:pPr>
      <w:r w:rsidDel="00000000" w:rsidR="00000000" w:rsidRPr="00000000">
        <w:rPr>
          <w:b w:val="1"/>
        </w:rPr>
        <w:drawing>
          <wp:inline distB="114300" distT="114300" distL="114300" distR="114300">
            <wp:extent cx="5731200" cy="2324100"/>
            <wp:effectExtent b="0" l="0" r="0" t="0"/>
            <wp:docPr id="3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Implementación de transformación de datos</w:t>
      </w:r>
    </w:p>
    <w:p w:rsidR="00000000" w:rsidDel="00000000" w:rsidP="00000000" w:rsidRDefault="00000000" w:rsidRPr="00000000" w14:paraId="000000AE">
      <w:pPr>
        <w:rPr>
          <w:b w:val="1"/>
        </w:rPr>
      </w:pPr>
      <w:r w:rsidDel="00000000" w:rsidR="00000000" w:rsidRPr="00000000">
        <w:rPr>
          <w:b w:val="1"/>
        </w:rPr>
        <w:drawing>
          <wp:inline distB="114300" distT="114300" distL="114300" distR="114300">
            <wp:extent cx="5731200" cy="2032000"/>
            <wp:effectExtent b="0" l="0" r="0" t="0"/>
            <wp:docPr id="2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pStyle w:val="Heading2"/>
        <w:pBdr>
          <w:bottom w:color="auto" w:space="0" w:sz="0" w:val="none"/>
        </w:pBdr>
        <w:spacing w:after="0" w:before="0" w:lineRule="auto"/>
        <w:rPr/>
      </w:pPr>
      <w:bookmarkStart w:colFirst="0" w:colLast="0" w:name="_x4tmp04gun11" w:id="14"/>
      <w:bookmarkEnd w:id="14"/>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pBdr>
          <w:bottom w:color="auto" w:space="0" w:sz="0" w:val="none"/>
        </w:pBdr>
        <w:spacing w:after="0" w:before="0" w:lineRule="auto"/>
        <w:rPr>
          <w:rFonts w:ascii="Arial" w:cs="Arial" w:eastAsia="Arial" w:hAnsi="Arial"/>
          <w:b w:val="1"/>
          <w:color w:val="000000"/>
        </w:rPr>
      </w:pPr>
      <w:bookmarkStart w:colFirst="0" w:colLast="0" w:name="_62xa1bfuqclg" w:id="15"/>
      <w:bookmarkEnd w:id="15"/>
      <w:r w:rsidDel="00000000" w:rsidR="00000000" w:rsidRPr="00000000">
        <w:rPr>
          <w:rFonts w:ascii="Arial" w:cs="Arial" w:eastAsia="Arial" w:hAnsi="Arial"/>
          <w:b w:val="1"/>
          <w:color w:val="000000"/>
          <w:rtl w:val="0"/>
        </w:rPr>
        <w:t xml:space="preserve">Configuración de git en Dataform para gestión de transformaciones en BigQuery</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El objetivo es configurar GitHub en Dataform para facilitar la gestión y versionamiento de scripts de transformación de datos en BigQuery, permitiendo un desarrollo colaborativo y control de versiones.</w:t>
      </w:r>
    </w:p>
    <w:p w:rsidR="00000000" w:rsidDel="00000000" w:rsidP="00000000" w:rsidRDefault="00000000" w:rsidRPr="00000000" w14:paraId="000000B4">
      <w:pPr>
        <w:rPr/>
      </w:pPr>
      <w:r w:rsidDel="00000000" w:rsidR="00000000" w:rsidRPr="00000000">
        <w:rPr>
          <w:rtl w:val="0"/>
        </w:rPr>
        <w:t xml:space="preserve">Los beneficios que nos da es controlar cambios, nos permite revisiones de código, y asegura una sincronización efectiva en el equipo de desarrollo.</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Conexión con Github</w:t>
      </w:r>
    </w:p>
    <w:p w:rsidR="00000000" w:rsidDel="00000000" w:rsidP="00000000" w:rsidRDefault="00000000" w:rsidRPr="00000000" w14:paraId="000000B7">
      <w:pPr>
        <w:rPr/>
      </w:pPr>
      <w:r w:rsidDel="00000000" w:rsidR="00000000" w:rsidRPr="00000000">
        <w:rPr>
          <w:rtl w:val="0"/>
        </w:rPr>
        <w:t xml:space="preserve">Se creó un repositorio en GitHub y se genera un token de acceso </w:t>
      </w:r>
    </w:p>
    <w:p w:rsidR="00000000" w:rsidDel="00000000" w:rsidP="00000000" w:rsidRDefault="00000000" w:rsidRPr="00000000" w14:paraId="000000B8">
      <w:pPr>
        <w:numPr>
          <w:ilvl w:val="0"/>
          <w:numId w:val="4"/>
        </w:numPr>
        <w:ind w:left="720" w:hanging="360"/>
      </w:pPr>
      <w:hyperlink r:id="rId26">
        <w:r w:rsidDel="00000000" w:rsidR="00000000" w:rsidRPr="00000000">
          <w:rPr>
            <w:color w:val="1155cc"/>
            <w:u w:val="single"/>
            <w:rtl w:val="0"/>
          </w:rPr>
          <w:t xml:space="preserve">https://github.com/ig-pi-cab/Ibex-BI-Scripts</w:t>
        </w:r>
      </w:hyperlink>
      <w:r w:rsidDel="00000000" w:rsidR="00000000" w:rsidRPr="00000000">
        <w:rPr>
          <w:rtl w:val="0"/>
        </w:rPr>
        <w:t xml:space="preserve"> </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 Configuración de conexión en Dataform</w:t>
      </w:r>
    </w:p>
    <w:p w:rsidR="00000000" w:rsidDel="00000000" w:rsidP="00000000" w:rsidRDefault="00000000" w:rsidRPr="00000000" w14:paraId="000000BB">
      <w:pPr>
        <w:rPr/>
      </w:pPr>
      <w:r w:rsidDel="00000000" w:rsidR="00000000" w:rsidRPr="00000000">
        <w:rPr>
          <w:rtl w:val="0"/>
        </w:rPr>
        <w:t xml:space="preserve">Se crea un repositorio dentro de Dataform y se da acceso con el token creado desde github</w:t>
      </w:r>
    </w:p>
    <w:p w:rsidR="00000000" w:rsidDel="00000000" w:rsidP="00000000" w:rsidRDefault="00000000" w:rsidRPr="00000000" w14:paraId="000000BC">
      <w:pPr>
        <w:numPr>
          <w:ilvl w:val="0"/>
          <w:numId w:val="7"/>
        </w:numPr>
        <w:ind w:left="720" w:hanging="360"/>
      </w:pPr>
      <w:r w:rsidDel="00000000" w:rsidR="00000000" w:rsidRPr="00000000">
        <w:rPr>
          <w:rtl w:val="0"/>
        </w:rPr>
        <w:t xml:space="preserve">Nombre: hvr_data</w:t>
      </w:r>
    </w:p>
    <w:p w:rsidR="00000000" w:rsidDel="00000000" w:rsidP="00000000" w:rsidRDefault="00000000" w:rsidRPr="00000000" w14:paraId="000000BD">
      <w:pPr>
        <w:numPr>
          <w:ilvl w:val="0"/>
          <w:numId w:val="7"/>
        </w:numPr>
        <w:ind w:left="720" w:hanging="360"/>
      </w:pPr>
      <w:r w:rsidDel="00000000" w:rsidR="00000000" w:rsidRPr="00000000">
        <w:rPr>
          <w:rtl w:val="0"/>
        </w:rPr>
        <w:t xml:space="preserve">Ubicacion: us-central</w:t>
      </w:r>
    </w:p>
    <w:p w:rsidR="00000000" w:rsidDel="00000000" w:rsidP="00000000" w:rsidRDefault="00000000" w:rsidRPr="00000000" w14:paraId="000000BE">
      <w:pPr>
        <w:numPr>
          <w:ilvl w:val="0"/>
          <w:numId w:val="7"/>
        </w:numPr>
        <w:ind w:left="720" w:hanging="360"/>
      </w:pPr>
      <w:r w:rsidDel="00000000" w:rsidR="00000000" w:rsidRPr="00000000">
        <w:rPr>
          <w:rtl w:val="0"/>
        </w:rPr>
        <w:t xml:space="preserve">Fuente : </w:t>
      </w:r>
      <w:hyperlink r:id="rId27">
        <w:r w:rsidDel="00000000" w:rsidR="00000000" w:rsidRPr="00000000">
          <w:rPr>
            <w:color w:val="1155cc"/>
            <w:u w:val="single"/>
            <w:rtl w:val="0"/>
          </w:rPr>
          <w:t xml:space="preserve">github.com/ig-pi-cab/Ibex-BI-Scripts.git</w:t>
        </w:r>
      </w:hyperlink>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drawing>
          <wp:inline distB="114300" distT="114300" distL="114300" distR="114300">
            <wp:extent cx="5731200" cy="723900"/>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Pruebas de commits </w:t>
      </w:r>
    </w:p>
    <w:p w:rsidR="00000000" w:rsidDel="00000000" w:rsidP="00000000" w:rsidRDefault="00000000" w:rsidRPr="00000000" w14:paraId="000000C2">
      <w:pPr>
        <w:rPr/>
      </w:pPr>
      <w:r w:rsidDel="00000000" w:rsidR="00000000" w:rsidRPr="00000000">
        <w:rPr>
          <w:rtl w:val="0"/>
        </w:rPr>
        <w:t xml:space="preserve">Se realizan commits de prueba desde Dataform para compartir los scripts realizados</w:t>
      </w:r>
    </w:p>
    <w:p w:rsidR="00000000" w:rsidDel="00000000" w:rsidP="00000000" w:rsidRDefault="00000000" w:rsidRPr="00000000" w14:paraId="000000C3">
      <w:pPr>
        <w:rPr/>
      </w:pPr>
      <w:r w:rsidDel="00000000" w:rsidR="00000000" w:rsidRPr="00000000">
        <w:rPr/>
        <w:drawing>
          <wp:inline distB="114300" distT="114300" distL="114300" distR="114300">
            <wp:extent cx="5014913" cy="1626701"/>
            <wp:effectExtent b="0" l="0" r="0" t="0"/>
            <wp:docPr id="37"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014913" cy="162670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Creación de archivo README.md</w:t>
      </w:r>
    </w:p>
    <w:p w:rsidR="00000000" w:rsidDel="00000000" w:rsidP="00000000" w:rsidRDefault="00000000" w:rsidRPr="00000000" w14:paraId="000000C5">
      <w:pPr>
        <w:rPr/>
      </w:pPr>
      <w:r w:rsidDel="00000000" w:rsidR="00000000" w:rsidRPr="00000000">
        <w:rPr/>
        <w:drawing>
          <wp:inline distB="114300" distT="114300" distL="114300" distR="114300">
            <wp:extent cx="5731200" cy="952500"/>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Creación de Branch</w:t>
      </w:r>
    </w:p>
    <w:p w:rsidR="00000000" w:rsidDel="00000000" w:rsidP="00000000" w:rsidRDefault="00000000" w:rsidRPr="00000000" w14:paraId="000000C8">
      <w:pPr>
        <w:rPr/>
      </w:pPr>
      <w:r w:rsidDel="00000000" w:rsidR="00000000" w:rsidRPr="00000000">
        <w:rPr/>
        <w:drawing>
          <wp:inline distB="114300" distT="114300" distL="114300" distR="114300">
            <wp:extent cx="5343525" cy="1828800"/>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343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Registro de commits desde Branch dataset_silver</w:t>
      </w:r>
    </w:p>
    <w:p w:rsidR="00000000" w:rsidDel="00000000" w:rsidP="00000000" w:rsidRDefault="00000000" w:rsidRPr="00000000" w14:paraId="000000CB">
      <w:pPr>
        <w:rPr>
          <w:b w:val="1"/>
        </w:rPr>
      </w:pPr>
      <w:r w:rsidDel="00000000" w:rsidR="00000000" w:rsidRPr="00000000">
        <w:rPr>
          <w:b w:val="1"/>
        </w:rPr>
        <w:drawing>
          <wp:inline distB="114300" distT="114300" distL="114300" distR="114300">
            <wp:extent cx="5731200" cy="2679700"/>
            <wp:effectExtent b="0" l="0" r="0" t="0"/>
            <wp:docPr id="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rPr/>
      </w:pPr>
      <w:bookmarkStart w:colFirst="0" w:colLast="0" w:name="_i7ef28qqx92s" w:id="16"/>
      <w:bookmarkEnd w:id="16"/>
      <w:r w:rsidDel="00000000" w:rsidR="00000000" w:rsidRPr="00000000">
        <w:rPr>
          <w:rtl w:val="0"/>
        </w:rPr>
        <w:t xml:space="preserve">BigQuery</w:t>
      </w:r>
    </w:p>
    <w:p w:rsidR="00000000" w:rsidDel="00000000" w:rsidP="00000000" w:rsidRDefault="00000000" w:rsidRPr="00000000" w14:paraId="000000CE">
      <w:pPr>
        <w:rPr/>
      </w:pPr>
      <w:r w:rsidDel="00000000" w:rsidR="00000000" w:rsidRPr="00000000">
        <w:rPr>
          <w:rtl w:val="0"/>
        </w:rPr>
        <w:t xml:space="preserve">Esta arquitectura organiza los datos en tres capas dentro de BigQuery:</w:t>
      </w:r>
    </w:p>
    <w:p w:rsidR="00000000" w:rsidDel="00000000" w:rsidP="00000000" w:rsidRDefault="00000000" w:rsidRPr="00000000" w14:paraId="000000CF">
      <w:pPr>
        <w:numPr>
          <w:ilvl w:val="0"/>
          <w:numId w:val="1"/>
        </w:numPr>
        <w:ind w:left="720" w:hanging="360"/>
        <w:rPr>
          <w:u w:val="none"/>
        </w:rPr>
      </w:pPr>
      <w:r w:rsidDel="00000000" w:rsidR="00000000" w:rsidRPr="00000000">
        <w:rPr>
          <w:rtl w:val="0"/>
        </w:rPr>
        <w:t xml:space="preserve">Bronze: Datos crudos o poco procesados directamente desde los sistemas de negocio.</w:t>
      </w:r>
    </w:p>
    <w:p w:rsidR="00000000" w:rsidDel="00000000" w:rsidP="00000000" w:rsidRDefault="00000000" w:rsidRPr="00000000" w14:paraId="000000D0">
      <w:pPr>
        <w:numPr>
          <w:ilvl w:val="0"/>
          <w:numId w:val="1"/>
        </w:numPr>
        <w:ind w:left="720" w:hanging="360"/>
        <w:rPr>
          <w:u w:val="none"/>
        </w:rPr>
      </w:pPr>
      <w:r w:rsidDel="00000000" w:rsidR="00000000" w:rsidRPr="00000000">
        <w:rPr>
          <w:rtl w:val="0"/>
        </w:rPr>
        <w:t xml:space="preserve">Silver: Datos transformados y limpiados, listos para análisis exploratorio y procesamiento intermedio.</w:t>
      </w:r>
    </w:p>
    <w:p w:rsidR="00000000" w:rsidDel="00000000" w:rsidP="00000000" w:rsidRDefault="00000000" w:rsidRPr="00000000" w14:paraId="000000D1">
      <w:pPr>
        <w:numPr>
          <w:ilvl w:val="0"/>
          <w:numId w:val="1"/>
        </w:numPr>
        <w:ind w:left="720" w:hanging="360"/>
        <w:rPr>
          <w:u w:val="none"/>
        </w:rPr>
      </w:pPr>
      <w:r w:rsidDel="00000000" w:rsidR="00000000" w:rsidRPr="00000000">
        <w:rPr>
          <w:rtl w:val="0"/>
        </w:rPr>
        <w:t xml:space="preserve">Gold: Datos altamente procesados y refinados para análisis avanzados y reportes.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Su función es facilitar la transición y limpieza de los datos a través de una estructura organizada en etapas para mejorar su calidad y utilidad.</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731200" cy="1219200"/>
            <wp:effectExtent b="0" l="0" r="0" t="0"/>
            <wp:docPr id="2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drawing>
                <wp:inline distB="114300" distT="114300" distL="114300" distR="114300">
                  <wp:extent cx="1985963" cy="2879646"/>
                  <wp:effectExtent b="0" l="0" r="0" t="0"/>
                  <wp:docPr id="2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985963" cy="287964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drawing>
                <wp:inline distB="114300" distT="114300" distL="114300" distR="114300">
                  <wp:extent cx="1795463" cy="2890999"/>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1795463" cy="289099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9">
      <w:pPr>
        <w:rPr>
          <w:b w:val="1"/>
        </w:rPr>
      </w:pPr>
      <w:r w:rsidDel="00000000" w:rsidR="00000000" w:rsidRPr="00000000">
        <w:rPr>
          <w:b w:val="1"/>
          <w:rtl w:val="0"/>
        </w:rPr>
        <w:t xml:space="preserve">BigQuery ML</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Servicio de machine learning de BigQuery que permite entrenar y desplegar modelos directamente dentro del Data Warehouse.</w:t>
      </w:r>
    </w:p>
    <w:p w:rsidR="00000000" w:rsidDel="00000000" w:rsidP="00000000" w:rsidRDefault="00000000" w:rsidRPr="00000000" w14:paraId="000000DC">
      <w:pPr>
        <w:rPr/>
      </w:pPr>
      <w:r w:rsidDel="00000000" w:rsidR="00000000" w:rsidRPr="00000000">
        <w:rPr>
          <w:rtl w:val="0"/>
        </w:rPr>
        <w:t xml:space="preserve">Su función es permitir la creación de modelos de aprendizaje automático sobre los datos en BigQuery, usando los datos de la capa “Gold”.</w:t>
      </w:r>
    </w:p>
    <w:p w:rsidR="00000000" w:rsidDel="00000000" w:rsidP="00000000" w:rsidRDefault="00000000" w:rsidRPr="00000000" w14:paraId="000000DD">
      <w:pPr>
        <w:rPr/>
      </w:pPr>
      <w:r w:rsidDel="00000000" w:rsidR="00000000" w:rsidRPr="00000000">
        <w:rPr/>
        <w:drawing>
          <wp:inline distB="114300" distT="114300" distL="114300" distR="114300">
            <wp:extent cx="5731200" cy="4305300"/>
            <wp:effectExtent b="0" l="0" r="0" t="0"/>
            <wp:docPr id="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pPr>
      <w:bookmarkStart w:colFirst="0" w:colLast="0" w:name="_krx5twoj1p5k" w:id="17"/>
      <w:bookmarkEnd w:id="17"/>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rPr/>
      </w:pPr>
      <w:bookmarkStart w:colFirst="0" w:colLast="0" w:name="_2lh1ys6pk4jy" w:id="18"/>
      <w:bookmarkEnd w:id="18"/>
      <w:r w:rsidDel="00000000" w:rsidR="00000000" w:rsidRPr="00000000">
        <w:rPr>
          <w:rtl w:val="0"/>
        </w:rPr>
        <w:t xml:space="preserve">Looker Studio</w:t>
      </w:r>
    </w:p>
    <w:p w:rsidR="00000000" w:rsidDel="00000000" w:rsidP="00000000" w:rsidRDefault="00000000" w:rsidRPr="00000000" w14:paraId="000000E1">
      <w:pPr>
        <w:rPr/>
      </w:pPr>
      <w:r w:rsidDel="00000000" w:rsidR="00000000" w:rsidRPr="00000000">
        <w:rPr>
          <w:rtl w:val="0"/>
        </w:rPr>
        <w:t xml:space="preserve">Herramienta de visualización de datos que permitirá a los usuarios acceder a reportes e insights basados en los datos procesados en BigQuery.</w:t>
      </w:r>
    </w:p>
    <w:p w:rsidR="00000000" w:rsidDel="00000000" w:rsidP="00000000" w:rsidRDefault="00000000" w:rsidRPr="00000000" w14:paraId="000000E2">
      <w:pPr>
        <w:rPr/>
      </w:pPr>
      <w:r w:rsidDel="00000000" w:rsidR="00000000" w:rsidRPr="00000000">
        <w:rPr>
          <w:rtl w:val="0"/>
        </w:rPr>
        <w:t xml:space="preserve">Su función es proveer un medio interactivo para explorar y analizar los datos finales, presentando dashboards y reportes a los usuarios.</w:t>
      </w:r>
    </w:p>
    <w:p w:rsidR="00000000" w:rsidDel="00000000" w:rsidP="00000000" w:rsidRDefault="00000000" w:rsidRPr="00000000" w14:paraId="000000E3">
      <w:pPr>
        <w:pStyle w:val="Heading2"/>
        <w:rPr/>
      </w:pPr>
      <w:bookmarkStart w:colFirst="0" w:colLast="0" w:name="_nxnu7n30sjnt" w:id="19"/>
      <w:bookmarkEnd w:id="19"/>
      <w:r w:rsidDel="00000000" w:rsidR="00000000" w:rsidRPr="00000000">
        <w:rPr>
          <w:rtl w:val="0"/>
        </w:rPr>
        <w:t xml:space="preserve">Seguridad y Gobernanza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Para asegurar la integridad y privacidad de los datos, se integran varios servicios de seguridad y gobernanza en la arquitectura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1200" cy="1079500"/>
            <wp:effectExtent b="0" l="0" r="0" t="0"/>
            <wp:docPr id="3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b w:val="1"/>
          <w:rtl w:val="0"/>
        </w:rPr>
        <w:t xml:space="preserve">Cloud IAM:</w:t>
      </w:r>
      <w:r w:rsidDel="00000000" w:rsidR="00000000" w:rsidRPr="00000000">
        <w:rPr>
          <w:rtl w:val="0"/>
        </w:rPr>
        <w:t xml:space="preserve"> Control de acceso a nivel de identidad, asegurando que solo los usuarios y servicios autorizados puedan acceder a los datos.</w:t>
      </w:r>
    </w:p>
    <w:p w:rsidR="00000000" w:rsidDel="00000000" w:rsidP="00000000" w:rsidRDefault="00000000" w:rsidRPr="00000000" w14:paraId="000000EA">
      <w:pPr>
        <w:rPr>
          <w:b w:val="1"/>
        </w:rPr>
      </w:pPr>
      <w:r w:rsidDel="00000000" w:rsidR="00000000" w:rsidRPr="00000000">
        <w:rPr>
          <w:b w:val="1"/>
        </w:rPr>
        <w:drawing>
          <wp:inline distB="114300" distT="114300" distL="114300" distR="114300">
            <wp:extent cx="5734050" cy="1911028"/>
            <wp:effectExtent b="0" l="0" r="0" t="0"/>
            <wp:docPr id="36" name="image27.png"/>
            <a:graphic>
              <a:graphicData uri="http://schemas.openxmlformats.org/drawingml/2006/picture">
                <pic:pic>
                  <pic:nvPicPr>
                    <pic:cNvPr id="0" name="image27.png"/>
                    <pic:cNvPicPr preferRelativeResize="0"/>
                  </pic:nvPicPr>
                  <pic:blipFill>
                    <a:blip r:embed="rId37"/>
                    <a:srcRect b="45331" l="0" r="0" t="0"/>
                    <a:stretch>
                      <a:fillRect/>
                    </a:stretch>
                  </pic:blipFill>
                  <pic:spPr>
                    <a:xfrm>
                      <a:off x="0" y="0"/>
                      <a:ext cx="5734050" cy="191102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Pr>
        <w:drawing>
          <wp:inline distB="114300" distT="114300" distL="114300" distR="114300">
            <wp:extent cx="3430950" cy="2859125"/>
            <wp:effectExtent b="0" l="0" r="0" t="0"/>
            <wp:docPr id="2" name="image4.png"/>
            <a:graphic>
              <a:graphicData uri="http://schemas.openxmlformats.org/drawingml/2006/picture">
                <pic:pic>
                  <pic:nvPicPr>
                    <pic:cNvPr id="0" name="image4.png"/>
                    <pic:cNvPicPr preferRelativeResize="0"/>
                  </pic:nvPicPr>
                  <pic:blipFill>
                    <a:blip r:embed="rId38"/>
                    <a:srcRect b="0" l="0" r="17441" t="0"/>
                    <a:stretch>
                      <a:fillRect/>
                    </a:stretch>
                  </pic:blipFill>
                  <pic:spPr>
                    <a:xfrm>
                      <a:off x="0" y="0"/>
                      <a:ext cx="3430950" cy="28591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Pr>
        <w:drawing>
          <wp:inline distB="114300" distT="114300" distL="114300" distR="114300">
            <wp:extent cx="4481513" cy="4225678"/>
            <wp:effectExtent b="0" l="0" r="0" t="0"/>
            <wp:docPr id="13" name="image13.png"/>
            <a:graphic>
              <a:graphicData uri="http://schemas.openxmlformats.org/drawingml/2006/picture">
                <pic:pic>
                  <pic:nvPicPr>
                    <pic:cNvPr id="0" name="image13.png"/>
                    <pic:cNvPicPr preferRelativeResize="0"/>
                  </pic:nvPicPr>
                  <pic:blipFill>
                    <a:blip r:embed="rId39"/>
                    <a:srcRect b="0" l="0" r="15614" t="0"/>
                    <a:stretch>
                      <a:fillRect/>
                    </a:stretch>
                  </pic:blipFill>
                  <pic:spPr>
                    <a:xfrm>
                      <a:off x="0" y="0"/>
                      <a:ext cx="4481513" cy="422567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Pr>
        <w:drawing>
          <wp:inline distB="114300" distT="114300" distL="114300" distR="114300">
            <wp:extent cx="4636732" cy="4097375"/>
            <wp:effectExtent b="0" l="0" r="0" t="0"/>
            <wp:docPr id="7"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636732" cy="40973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Pr>
        <w:drawing>
          <wp:inline distB="114300" distT="114300" distL="114300" distR="114300">
            <wp:extent cx="5006851" cy="3752689"/>
            <wp:effectExtent b="0" l="0" r="0" t="0"/>
            <wp:docPr id="23" name="image33.png"/>
            <a:graphic>
              <a:graphicData uri="http://schemas.openxmlformats.org/drawingml/2006/picture">
                <pic:pic>
                  <pic:nvPicPr>
                    <pic:cNvPr id="0" name="image33.png"/>
                    <pic:cNvPicPr preferRelativeResize="0"/>
                  </pic:nvPicPr>
                  <pic:blipFill>
                    <a:blip r:embed="rId41"/>
                    <a:srcRect b="1596" l="0" r="0" t="0"/>
                    <a:stretch>
                      <a:fillRect/>
                    </a:stretch>
                  </pic:blipFill>
                  <pic:spPr>
                    <a:xfrm>
                      <a:off x="0" y="0"/>
                      <a:ext cx="5006851" cy="375268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Cloud Security Command Center:</w:t>
      </w:r>
      <w:r w:rsidDel="00000000" w:rsidR="00000000" w:rsidRPr="00000000">
        <w:rPr>
          <w:rtl w:val="0"/>
        </w:rPr>
        <w:t xml:space="preserve"> Plataforma de monitoreo de seguridad que ayuda a detectar y responder a amenazas.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Monitoring: </w:t>
      </w:r>
      <w:r w:rsidDel="00000000" w:rsidR="00000000" w:rsidRPr="00000000">
        <w:rPr>
          <w:rtl w:val="0"/>
        </w:rPr>
        <w:t xml:space="preserve">Servicio de monitoreo para rastrear el rendimiento y estado de los componentes de la arquitectura, asegurando su funcionamiento óptimo.</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Workflows</w:t>
      </w:r>
    </w:p>
    <w:p w:rsidR="00000000" w:rsidDel="00000000" w:rsidP="00000000" w:rsidRDefault="00000000" w:rsidRPr="00000000" w14:paraId="000000F8">
      <w:pPr>
        <w:rPr/>
      </w:pPr>
      <w:r w:rsidDel="00000000" w:rsidR="00000000" w:rsidRPr="00000000">
        <w:rPr>
          <w:rtl w:val="0"/>
        </w:rPr>
        <w:t xml:space="preserve">Combina los servicios y las API de Google Cloud para crear aplicaciones fiables, automatizar procesos dentro de la transformación de datos, en nuestro caso lo utilizaremos en Dataform para la transformación de datos de la capa bronze a silver y de silver a gold.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br w:type="page"/>
      </w: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Flujo de trabajo </w:t>
      </w:r>
    </w:p>
    <w:p w:rsidR="00000000" w:rsidDel="00000000" w:rsidP="00000000" w:rsidRDefault="00000000" w:rsidRPr="00000000" w14:paraId="000000FC">
      <w:pPr>
        <w:numPr>
          <w:ilvl w:val="0"/>
          <w:numId w:val="8"/>
        </w:numPr>
        <w:ind w:left="720" w:hanging="360"/>
        <w:rPr>
          <w:u w:val="none"/>
        </w:rPr>
      </w:pPr>
      <w:r w:rsidDel="00000000" w:rsidR="00000000" w:rsidRPr="00000000">
        <w:rPr>
          <w:rtl w:val="0"/>
        </w:rPr>
        <w:t xml:space="preserve">Ubicación: us-central1</w:t>
      </w:r>
    </w:p>
    <w:p w:rsidR="00000000" w:rsidDel="00000000" w:rsidP="00000000" w:rsidRDefault="00000000" w:rsidRPr="00000000" w14:paraId="000000FD">
      <w:pPr>
        <w:numPr>
          <w:ilvl w:val="0"/>
          <w:numId w:val="8"/>
        </w:numPr>
        <w:ind w:left="720" w:hanging="360"/>
        <w:rPr>
          <w:u w:val="none"/>
        </w:rPr>
      </w:pPr>
      <w:r w:rsidDel="00000000" w:rsidR="00000000" w:rsidRPr="00000000">
        <w:rPr>
          <w:rtl w:val="0"/>
        </w:rPr>
        <w:t xml:space="preserve">Fecha de ejecución: Todos los días a las 7pm.</w:t>
      </w: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Pr>
        <w:drawing>
          <wp:inline distB="114300" distT="114300" distL="114300" distR="114300">
            <wp:extent cx="5943600" cy="952500"/>
            <wp:effectExtent b="0" l="0" r="0" t="0"/>
            <wp:docPr id="1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Ejecución de tareas</w:t>
      </w:r>
    </w:p>
    <w:p w:rsidR="00000000" w:rsidDel="00000000" w:rsidP="00000000" w:rsidRDefault="00000000" w:rsidRPr="00000000" w14:paraId="00000100">
      <w:pPr>
        <w:rPr/>
      </w:pPr>
      <w:r w:rsidDel="00000000" w:rsidR="00000000" w:rsidRPr="00000000">
        <w:rPr/>
        <w:drawing>
          <wp:inline distB="114300" distT="114300" distL="114300" distR="114300">
            <wp:extent cx="5943600" cy="1676400"/>
            <wp:effectExtent b="0" l="0" r="0" t="0"/>
            <wp:docPr id="35"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Detalles</w:t>
      </w:r>
    </w:p>
    <w:p w:rsidR="00000000" w:rsidDel="00000000" w:rsidP="00000000" w:rsidRDefault="00000000" w:rsidRPr="00000000" w14:paraId="00000103">
      <w:pPr>
        <w:rPr/>
      </w:pPr>
      <w:r w:rsidDel="00000000" w:rsidR="00000000" w:rsidRPr="00000000">
        <w:rPr/>
        <w:drawing>
          <wp:inline distB="114300" distT="114300" distL="114300" distR="114300">
            <wp:extent cx="5943600" cy="2527300"/>
            <wp:effectExtent b="0" l="0" r="0" t="0"/>
            <wp:docPr id="28"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jc w:val="left"/>
        <w:rPr/>
      </w:pPr>
      <w:r w:rsidDel="00000000" w:rsidR="00000000" w:rsidRPr="00000000">
        <w:rPr>
          <w:b w:val="1"/>
          <w:rtl w:val="0"/>
        </w:rPr>
        <w:t xml:space="preserve">Documentación completa del proyecto aquí: </w:t>
      </w:r>
      <w:hyperlink r:id="rId45">
        <w:r w:rsidDel="00000000" w:rsidR="00000000" w:rsidRPr="00000000">
          <w:rPr>
            <w:color w:val="1155cc"/>
            <w:u w:val="single"/>
            <w:rtl w:val="0"/>
          </w:rPr>
          <w:t xml:space="preserve">https://hvrinformes.atlassian.net/wiki/spaces/F1PDT/pages/29491201/Proyecto+Data+Warehouse+HVR</w:t>
        </w:r>
      </w:hyperlink>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ectPr>
      <w:headerReference r:id="rId46" w:type="default"/>
      <w:headerReference r:id="rId47" w:type="first"/>
      <w:footerReference r:id="rId48" w:type="default"/>
      <w:footerReference r:id="rId49" w:type="first"/>
      <w:pgSz w:h="15840" w:w="12240" w:orient="portrait"/>
      <w:pgMar w:bottom="1440.0000000000002" w:top="1440.0000000000002" w:left="1440.0000000000002" w:right="1440.000000000000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tabs>
        <w:tab w:val="center" w:leader="none" w:pos="4419"/>
        <w:tab w:val="right" w:leader="none" w:pos="8838"/>
      </w:tabs>
      <w:spacing w:before="200" w:line="360" w:lineRule="auto"/>
      <w:ind w:firstLine="0"/>
      <w:jc w:val="right"/>
      <w:rPr>
        <w:rFonts w:ascii="Arial" w:cs="Arial" w:eastAsia="Arial" w:hAnsi="Arial"/>
        <w:color w:val="0d0d0d"/>
        <w:sz w:val="16"/>
        <w:szCs w:val="16"/>
      </w:rPr>
    </w:pPr>
    <w:r w:rsidDel="00000000" w:rsidR="00000000" w:rsidRPr="00000000">
      <w:rPr>
        <w:rFonts w:ascii="Arial" w:cs="Arial" w:eastAsia="Arial" w:hAnsi="Arial"/>
        <w:color w:val="0d0d0d"/>
        <w:sz w:val="16"/>
        <w:szCs w:val="16"/>
        <w:rtl w:val="0"/>
      </w:rPr>
      <w:t xml:space="preserve">Proyecto APT</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932815" cy="231775"/>
          <wp:effectExtent b="0" l="0" r="0" t="0"/>
          <wp:wrapSquare wrapText="bothSides" distB="0" distT="0" distL="114300" distR="114300"/>
          <wp:docPr id="3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32815" cy="231775"/>
                  </a:xfrm>
                  <a:prstGeom prst="rect"/>
                  <a:ln/>
                </pic:spPr>
              </pic:pic>
            </a:graphicData>
          </a:graphic>
        </wp:anchor>
      </w:drawing>
    </w:r>
  </w:p>
  <w:p w:rsidR="00000000" w:rsidDel="00000000" w:rsidP="00000000" w:rsidRDefault="00000000" w:rsidRPr="00000000" w14:paraId="0000010A">
    <w:pPr>
      <w:ind w:lef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1647265" cy="400050"/>
          <wp:effectExtent b="0" l="0" r="0" t="0"/>
          <wp:wrapSquare wrapText="bothSides" distB="0" distT="0" distL="114300" distR="114300"/>
          <wp:docPr id="1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7265" cy="4000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bottom w:color="auto" w:space="0" w:sz="0" w:val="none"/>
      </w:pBdr>
      <w:spacing w:after="40" w:before="240" w:lineRule="auto"/>
    </w:pPr>
    <w:rPr>
      <w:b w:val="1"/>
    </w:rPr>
  </w:style>
  <w:style w:type="paragraph" w:styleId="Heading2">
    <w:name w:val="heading 2"/>
    <w:basedOn w:val="Normal"/>
    <w:next w:val="Normal"/>
    <w:pPr>
      <w:pBdr>
        <w:bottom w:color="auto" w:space="0" w:sz="0" w:val="none"/>
      </w:pBdr>
      <w:spacing w:after="40" w:before="240" w:lineRule="auto"/>
    </w:pPr>
    <w:rPr>
      <w:b w:val="1"/>
    </w:rPr>
  </w:style>
  <w:style w:type="paragraph" w:styleId="Heading3">
    <w:name w:val="heading 3"/>
    <w:basedOn w:val="Normal"/>
    <w:next w:val="Normal"/>
    <w:pPr>
      <w:pBdr>
        <w:bottom w:color="8eaadb" w:space="1" w:sz="4" w:val="single"/>
      </w:pBdr>
      <w:spacing w:after="80" w:before="200" w:lineRule="auto"/>
      <w:ind w:firstLine="0"/>
    </w:pPr>
    <w:rPr>
      <w:rFonts w:ascii="Calibri" w:cs="Calibri" w:eastAsia="Calibri" w:hAnsi="Calibri"/>
      <w:color w:val="4472c4"/>
      <w:sz w:val="24"/>
      <w:szCs w:val="24"/>
    </w:rPr>
  </w:style>
  <w:style w:type="paragraph" w:styleId="Heading4">
    <w:name w:val="heading 4"/>
    <w:basedOn w:val="Normal"/>
    <w:next w:val="Normal"/>
    <w:pPr>
      <w:pBdr>
        <w:bottom w:color="b4c6e7" w:space="2" w:sz="4" w:val="single"/>
      </w:pBdr>
      <w:spacing w:after="80" w:before="200" w:lineRule="auto"/>
      <w:ind w:firstLine="0"/>
    </w:pPr>
    <w:rPr>
      <w:rFonts w:ascii="Calibri" w:cs="Calibri" w:eastAsia="Calibri" w:hAnsi="Calibri"/>
      <w:i w:val="1"/>
      <w:color w:val="4472c4"/>
      <w:sz w:val="24"/>
      <w:szCs w:val="24"/>
    </w:rPr>
  </w:style>
  <w:style w:type="paragraph" w:styleId="Heading5">
    <w:name w:val="heading 5"/>
    <w:basedOn w:val="Normal"/>
    <w:next w:val="Normal"/>
    <w:pPr>
      <w:spacing w:after="80" w:before="200" w:lineRule="auto"/>
      <w:ind w:firstLine="0"/>
    </w:pPr>
    <w:rPr>
      <w:rFonts w:ascii="Calibri" w:cs="Calibri" w:eastAsia="Calibri" w:hAnsi="Calibri"/>
      <w:color w:val="4472c4"/>
    </w:rPr>
  </w:style>
  <w:style w:type="paragraph" w:styleId="Heading6">
    <w:name w:val="heading 6"/>
    <w:basedOn w:val="Normal"/>
    <w:next w:val="Normal"/>
    <w:pPr>
      <w:spacing w:after="100" w:before="280" w:lineRule="auto"/>
      <w:ind w:firstLine="0"/>
    </w:pPr>
    <w:rPr>
      <w:rFonts w:ascii="Calibri" w:cs="Calibri" w:eastAsia="Calibri" w:hAnsi="Calibri"/>
      <w:i w:val="1"/>
      <w:color w:val="4472c4"/>
    </w:rPr>
  </w:style>
  <w:style w:type="paragraph" w:styleId="Title">
    <w:name w:val="Title"/>
    <w:basedOn w:val="Normal"/>
    <w:next w:val="Normal"/>
    <w:pPr>
      <w:pBdr>
        <w:top w:color="a1b8e1" w:space="10" w:sz="8" w:val="single"/>
        <w:bottom w:color="a5a5a5" w:space="15" w:sz="24" w:val="single"/>
      </w:pBdr>
      <w:ind w:firstLine="0"/>
      <w:jc w:val="center"/>
    </w:pPr>
    <w:rPr>
      <w:rFonts w:ascii="Calibri" w:cs="Calibri" w:eastAsia="Calibri" w:hAnsi="Calibri"/>
      <w:i w:val="1"/>
      <w:color w:val="1f3863"/>
      <w:sz w:val="60"/>
      <w:szCs w:val="60"/>
    </w:rPr>
  </w:style>
  <w:style w:type="paragraph" w:styleId="Subtitle">
    <w:name w:val="Subtitle"/>
    <w:basedOn w:val="Normal"/>
    <w:next w:val="Normal"/>
    <w:pPr>
      <w:spacing w:after="900" w:before="200" w:lineRule="auto"/>
      <w:ind w:firstLine="0"/>
      <w:jc w:val="right"/>
    </w:pPr>
    <w:rPr>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8.png"/><Relationship Id="rId41" Type="http://schemas.openxmlformats.org/officeDocument/2006/relationships/image" Target="media/image33.png"/><Relationship Id="rId44" Type="http://schemas.openxmlformats.org/officeDocument/2006/relationships/image" Target="media/image23.png"/><Relationship Id="rId43" Type="http://schemas.openxmlformats.org/officeDocument/2006/relationships/image" Target="media/image31.png"/><Relationship Id="rId46" Type="http://schemas.openxmlformats.org/officeDocument/2006/relationships/header" Target="header1.xml"/><Relationship Id="rId45" Type="http://schemas.openxmlformats.org/officeDocument/2006/relationships/hyperlink" Target="https://hvrinformes.atlassian.net/wiki/spaces/F1PDT/pages/29491201/Proyecto+Data+Warehouse+HV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footer" Target="footer2.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34.png"/><Relationship Id="rId8" Type="http://schemas.openxmlformats.org/officeDocument/2006/relationships/image" Target="media/image11.png"/><Relationship Id="rId31" Type="http://schemas.openxmlformats.org/officeDocument/2006/relationships/image" Target="media/image20.png"/><Relationship Id="rId30" Type="http://schemas.openxmlformats.org/officeDocument/2006/relationships/image" Target="media/image5.png"/><Relationship Id="rId33" Type="http://schemas.openxmlformats.org/officeDocument/2006/relationships/image" Target="media/image21.png"/><Relationship Id="rId32" Type="http://schemas.openxmlformats.org/officeDocument/2006/relationships/image" Target="media/image26.png"/><Relationship Id="rId35" Type="http://schemas.openxmlformats.org/officeDocument/2006/relationships/image" Target="media/image12.png"/><Relationship Id="rId34" Type="http://schemas.openxmlformats.org/officeDocument/2006/relationships/image" Target="media/image2.png"/><Relationship Id="rId37" Type="http://schemas.openxmlformats.org/officeDocument/2006/relationships/image" Target="media/image27.png"/><Relationship Id="rId36" Type="http://schemas.openxmlformats.org/officeDocument/2006/relationships/image" Target="media/image29.png"/><Relationship Id="rId39" Type="http://schemas.openxmlformats.org/officeDocument/2006/relationships/image" Target="media/image13.png"/><Relationship Id="rId38" Type="http://schemas.openxmlformats.org/officeDocument/2006/relationships/image" Target="media/image4.png"/><Relationship Id="rId20" Type="http://schemas.openxmlformats.org/officeDocument/2006/relationships/hyperlink" Target="http://github.com/ig-pi-cab/Ibex-BI-Scripts.git" TargetMode="External"/><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22.png"/><Relationship Id="rId23" Type="http://schemas.openxmlformats.org/officeDocument/2006/relationships/image" Target="media/image3.png"/><Relationship Id="rId26" Type="http://schemas.openxmlformats.org/officeDocument/2006/relationships/hyperlink" Target="https://github.com/ig-pi-cab/Ibex-BI-Scripts" TargetMode="External"/><Relationship Id="rId25" Type="http://schemas.openxmlformats.org/officeDocument/2006/relationships/image" Target="media/image28.png"/><Relationship Id="rId28" Type="http://schemas.openxmlformats.org/officeDocument/2006/relationships/image" Target="media/image36.png"/><Relationship Id="rId27" Type="http://schemas.openxmlformats.org/officeDocument/2006/relationships/hyperlink" Target="http://github.com/ig-pi-cab/Ibex-BI-Scripts.git" TargetMode="External"/><Relationship Id="rId29" Type="http://schemas.openxmlformats.org/officeDocument/2006/relationships/image" Target="media/image9.png"/><Relationship Id="rId11" Type="http://schemas.openxmlformats.org/officeDocument/2006/relationships/image" Target="media/image7.png"/><Relationship Id="rId10" Type="http://schemas.openxmlformats.org/officeDocument/2006/relationships/image" Target="media/image25.png"/><Relationship Id="rId13" Type="http://schemas.openxmlformats.org/officeDocument/2006/relationships/image" Target="media/image6.png"/><Relationship Id="rId12" Type="http://schemas.openxmlformats.org/officeDocument/2006/relationships/image" Target="media/image19.png"/><Relationship Id="rId15" Type="http://schemas.openxmlformats.org/officeDocument/2006/relationships/image" Target="media/image37.png"/><Relationship Id="rId14" Type="http://schemas.openxmlformats.org/officeDocument/2006/relationships/image" Target="media/image30.png"/><Relationship Id="rId17" Type="http://schemas.openxmlformats.org/officeDocument/2006/relationships/image" Target="media/image35.png"/><Relationship Id="rId16" Type="http://schemas.openxmlformats.org/officeDocument/2006/relationships/image" Target="media/image17.png"/><Relationship Id="rId19" Type="http://schemas.openxmlformats.org/officeDocument/2006/relationships/image" Target="media/image38.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