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F4E79"/>
          <w:sz w:val="40"/>
        </w:rPr>
        <w:t>Software features — requested by</w:t>
      </w:r>
    </w:p>
    <w:p>
      <w:pPr>
        <w:spacing w:after="60" w:before="0"/>
      </w:pPr>
      <w:r>
        <w:rPr>
          <w:rFonts w:ascii="Calibri" w:hAnsi="Calibri"/>
          <w:b/>
          <w:sz w:val="20"/>
        </w:rPr>
        <w:t xml:space="preserve">Source: </w:t>
      </w:r>
      <w:r>
        <w:rPr>
          <w:rFonts w:ascii="Calibri" w:hAnsi="Calibri"/>
          <w:sz w:val="20"/>
        </w:rPr>
        <w:t>Extracted from Hybrid ARC-53 Technical Offer PDF (Annex 1, 4 pages). Buyer: Latvia State Border Guard. Delivery: Lidlauks, Runtorta, Isnaudas parish, Ludza municipality, LV-5701.</w:t>
      </w:r>
    </w:p>
    <w:p>
      <w:pPr>
        <w:spacing w:after="60" w:before="0"/>
      </w:pPr>
      <w:r>
        <w:rPr>
          <w:rFonts w:ascii="Calibri" w:hAnsi="Calibri"/>
          <w:b/>
          <w:sz w:val="20"/>
        </w:rPr>
        <w:t xml:space="preserve">Scope: </w:t>
      </w:r>
      <w:r>
        <w:rPr>
          <w:rFonts w:ascii="Calibri" w:hAnsi="Calibri"/>
          <w:sz w:val="20"/>
        </w:rPr>
        <w:t>Software-relevant items only — GCS, flight control, datalink, MISB metadata, payload video/geo-track software, simulator. Hardware, airframe limits, spare parts, delivery, and commercial terms excluded.</w:t>
      </w:r>
    </w:p>
    <w:p>
      <w:pPr>
        <w:spacing w:after="60" w:before="0"/>
      </w:pPr>
      <w:r>
        <w:rPr>
          <w:rFonts w:ascii="Calibri" w:hAnsi="Calibri"/>
          <w:b/>
          <w:sz w:val="20"/>
        </w:rPr>
        <w:t xml:space="preserve">Requested by: </w:t>
      </w:r>
      <w:r>
        <w:rPr>
          <w:rFonts w:ascii="Calibri" w:hAnsi="Calibri"/>
          <w:sz w:val="20"/>
        </w:rPr>
        <w:t>Mexico is not named in this PDF. Every row is Latvia.</w:t>
      </w:r>
    </w:p>
    <w:p>
      <w:pPr>
        <w:spacing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7710"/>
        <w:gridCol w:w="1701"/>
      </w:tblGrid>
      <w:tr>
        <w:trPr>
          <w:tblHeader w:val="true"/>
        </w:trPr>
        <w:tc>
          <w:tcPr>
            <w:tcW w:type="dxa" w:w="907"/>
            <w:vAlign w:val="center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PDF</w:t>
            </w:r>
          </w:p>
        </w:tc>
        <w:tc>
          <w:tcPr>
            <w:tcW w:type="dxa" w:w="7710"/>
            <w:vAlign w:val="center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1701"/>
            <w:vAlign w:val="center"/>
            <w:shd w:fill="1F4E79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Requested by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§1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HD quality video signal transmission up to a radius of 100 km (at direct radio visibility).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§1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Transmission and reception of information about the subject and objects in visible light and infrared radiation, as video and images.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§1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Appropriate adjustments can be made to the system; other types of payload elements can be installed for other long-term airborne tasks.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§1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Ground Control Station (GCS) with portable flight path tracking antenna system.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§1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Training on the unmanned aircraft system (system and/or simulator).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Data terminal operating frequency band 4,400–4,940 MHz.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Output power sufficient for operating distance not less than 80 km, with the possibility to be set at different limit values as necessary.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Flight control system ensures fully automatic operation from take-off to landing.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Possibility of take-off and landing on a moving object (e.g. on ship).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Automatic route adjustment and return to base in GPS prohibited areas.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Landing system provides landing of the aircraft at the marked location.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Payload element data entry function for further analysis.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Video signal metadata configured according to MISB STD 0601 “UAS Data Link Local Metadata Set”.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Payload element information display shall display at least the minimum amount of metadata specified in MISB STD 0902.8 “Motion Imagery Sensor Minimum Metadata Set”.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Possibility to configure metadata and remove metadata from the image upon necessity.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Aircraft equipped with a navigation system (e.g. INS). Aircraft able to operate without GPS (follow the set route or return to the specified location).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§2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ADS-B technology transponder or equivalent flight identification device (≤ 0.1 kg). Flight identification device shall be unlockable.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§3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Payload intended for identification and documentation during day and night.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§3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Video recording system compatible with all sensors installed, with sufficient power to maintain the geo point of each completed mission.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§3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Geo track modes for EO/IR to display the observed target coordinates.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§3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Distance gauge is part of the geo point.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§3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Geo track subsystem capable of indicating the precise calculated distance to the observed target.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§3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Ability to focus on an object and track the object autonomously.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§4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GCS with flight path tracking antenna system used in performance of SBG mobile vehicle or ship, SBG tasks, FRONTEX tasks, and other State and local government tasks.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§4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GCS has capability of aircraft handing-over among GCSs.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§4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Unmanned aircraft systems for the deployment and functionality of control and communication elements during their operation.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§4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Stable and high-quality data transmission at distance that is not less than 80 km (tender offer: up to 100 km).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§6</w:t>
            </w:r>
          </w:p>
        </w:tc>
        <w:tc>
          <w:tcPr>
            <w:tcW w:type="dxa" w:w="7710"/>
            <w:vAlign w:val="center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Training of State Border Guard officials on the system or on a simulator (or in the system and simulator) so each trained official is able to independently pilot, operate, and service the unmanned aircraft system. Planned number: up to 15 individuals.</w:t>
            </w:r>
          </w:p>
        </w:tc>
        <w:tc>
          <w:tcPr>
            <w:tcW w:type="dxa" w:w="1701"/>
            <w:vAlign w:val="center"/>
            <w:shd w:fill="D6E3F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§6</w:t>
            </w:r>
          </w:p>
        </w:tc>
        <w:tc>
          <w:tcPr>
            <w:tcW w:type="dxa" w:w="7710"/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Complete simulator system provided with the aircraft, allowing year-round training.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Latvia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