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Calibri" w:hAnsi="Calibri"/>
          <w:b/>
          <w:color w:val="1F4E79"/>
          <w:sz w:val="40"/>
        </w:rPr>
        <w:t>Software features — requested by</w:t>
      </w:r>
    </w:p>
    <w:p>
      <w:pPr>
        <w:spacing w:after="80"/>
      </w:pPr>
      <w:r>
        <w:rPr>
          <w:rFonts w:ascii="Calibri" w:hAnsi="Calibri"/>
          <w:b/>
          <w:sz w:val="20"/>
        </w:rPr>
        <w:t xml:space="preserve">Source: </w:t>
      </w:r>
      <w:r>
        <w:rPr>
          <w:rFonts w:ascii="Calibri" w:hAnsi="Calibri"/>
          <w:sz w:val="20"/>
        </w:rPr>
        <w:t>Hybrid ARC-53 Technical Offer (Annex 1 to the Agreement, December 2025). Delivery and training are for the Latvia State Border Guard (Valsts robežsardze), Lidlauks, Runtorta, Isnaudas parish, Ludza municipality, LV-5701.</w:t>
      </w:r>
    </w:p>
    <w:p>
      <w:pPr>
        <w:spacing w:after="240"/>
      </w:pPr>
      <w:r>
        <w:rPr>
          <w:b/>
          <w:sz w:val="20"/>
        </w:rPr>
        <w:t xml:space="preserve">Scope: </w:t>
      </w:r>
      <w:r>
        <w:rPr>
          <w:sz w:val="20"/>
        </w:rPr>
        <w:t>Software-relevant items only. Hardware, logistics, spare parts, optical/sensor hardware specs, airframe limits, and commercial terms are excluded. Mexico is not named in the uploaded annex, so every row is tagged Latvia.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64"/>
        <w:gridCol w:w="1701"/>
      </w:tblGrid>
      <w:tr>
        <w:trPr>
          <w:tblHeader w:val="true"/>
        </w:trPr>
        <w:tc>
          <w:tcPr>
            <w:tcW w:type="dxa" w:w="4933"/>
            <w:vAlign w:val="center"/>
            <w:shd w:fill="1F4E7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Feature</w:t>
            </w:r>
          </w:p>
        </w:tc>
        <w:tc>
          <w:tcPr>
            <w:tcW w:type="dxa" w:w="4933"/>
            <w:vAlign w:val="center"/>
            <w:shd w:fill="1F4E79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Requested by</w:t>
            </w:r>
          </w:p>
        </w:tc>
      </w:tr>
      <w:tr>
        <w:tc>
          <w:tcPr>
            <w:tcW w:type="dxa" w:w="816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HD video downlink (visible + IR) with long-range visual control, day and night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  <w:shd w:fill="D6E3F0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Data terminal in 4,400–4,940 MHz; RF power configurable to support ≥80 km (offered 100 km)</w:t>
            </w:r>
          </w:p>
        </w:tc>
        <w:tc>
          <w:tcPr>
            <w:tcW w:type="dxa" w:w="1701"/>
            <w:vAlign w:val="center"/>
            <w:shd w:fill="D6E3F0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Ground Control Station (GCS) with portable flight-path tracking antenna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  <w:shd w:fill="D6E3F0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GCS usable on SBG vehicle or ship for SBG, FRONTEX, and other state/local tasks</w:t>
            </w:r>
          </w:p>
        </w:tc>
        <w:tc>
          <w:tcPr>
            <w:tcW w:type="dxa" w:w="1701"/>
            <w:vAlign w:val="center"/>
            <w:shd w:fill="D6E3F0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Aircraft hand-over between GCS units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  <w:shd w:fill="D6E3F0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Deploy and operate control and communication elements during flight</w:t>
            </w:r>
          </w:p>
        </w:tc>
        <w:tc>
          <w:tcPr>
            <w:tcW w:type="dxa" w:w="1701"/>
            <w:vAlign w:val="center"/>
            <w:shd w:fill="D6E3F0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Fully automatic flight from take-off to landing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  <w:shd w:fill="D6E3F0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Take-off and landing on a moving object (e.g. ship)</w:t>
            </w:r>
          </w:p>
        </w:tc>
        <w:tc>
          <w:tcPr>
            <w:tcW w:type="dxa" w:w="1701"/>
            <w:vAlign w:val="center"/>
            <w:shd w:fill="D6E3F0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Automatic route adjustment and return-to-base in GPS-denied / GPS-prohibited areas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  <w:shd w:fill="D6E3F0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Precision landing at a marked location</w:t>
            </w:r>
          </w:p>
        </w:tc>
        <w:tc>
          <w:tcPr>
            <w:tcW w:type="dxa" w:w="1701"/>
            <w:vAlign w:val="center"/>
            <w:shd w:fill="D6E3F0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INS navigation; follow route or return to a specified location without GPS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  <w:shd w:fill="D6E3F0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Payload data-entry function for later analysis</w:t>
            </w:r>
          </w:p>
        </w:tc>
        <w:tc>
          <w:tcPr>
            <w:tcW w:type="dxa" w:w="1701"/>
            <w:vAlign w:val="center"/>
            <w:shd w:fill="D6E3F0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Video metadata per MISB STD 0601 “UAS Data Link Local Metadata Set”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  <w:shd w:fill="D6E3F0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Payload display metadata per MISB STD 0902.8 “Motion Imagery Sensor Minimum Metadata Set”</w:t>
            </w:r>
          </w:p>
        </w:tc>
        <w:tc>
          <w:tcPr>
            <w:tcW w:type="dxa" w:w="1701"/>
            <w:vAlign w:val="center"/>
            <w:shd w:fill="D6E3F0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Configure metadata; strip metadata from imagery when required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  <w:shd w:fill="D6E3F0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Video recording for all installed sensors; retain geo-point of each completed mission</w:t>
            </w:r>
          </w:p>
        </w:tc>
        <w:tc>
          <w:tcPr>
            <w:tcW w:type="dxa" w:w="1701"/>
            <w:vAlign w:val="center"/>
            <w:shd w:fill="D6E3F0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EO/IR geo-track: display observed-target coordinates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  <w:shd w:fill="D6E3F0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Distance gauge as part of geo-point; geo-track range to observed target</w:t>
            </w:r>
          </w:p>
        </w:tc>
        <w:tc>
          <w:tcPr>
            <w:tcW w:type="dxa" w:w="1701"/>
            <w:vAlign w:val="center"/>
            <w:shd w:fill="D6E3F0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Autonomous detect/focus and track of a selected object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  <w:shd w:fill="D6E3F0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ADS-B (or equivalent) flight identification, unlockable, ≤0.1 kg</w:t>
            </w:r>
          </w:p>
        </w:tc>
        <w:tc>
          <w:tcPr>
            <w:tcW w:type="dxa" w:w="1701"/>
            <w:vAlign w:val="center"/>
            <w:shd w:fill="D6E3F0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  <w:tr>
        <w:tc>
          <w:tcPr>
            <w:tcW w:type="dxa" w:w="816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20"/>
              </w:rPr>
              <w:t>Operator training on aircraft and/or simulator (up to 15 SBG officials); year-round simulator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Latvia</w:t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