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F5496"/>
          <w:sz w:val="44"/>
          <w:szCs w:val="44"/>
        </w:rPr>
        <w:t xml:space="preserve">OpoWatch</w:t>
      </w:r>
    </w:p>
    <w:p>
      <w:pPr>
        <w:spacing w:after="320"/>
        <w:jc w:val="center"/>
      </w:pPr>
      <w:r>
        <w:rPr>
          <w:i/>
          <w:iCs/>
          <w:sz w:val="24"/>
          <w:szCs w:val="24"/>
        </w:rPr>
        <w:t xml:space="preserve">Ampliacion: tercer tipo de watcher, JSON_API (caso real: Ayuntamiento de Zaragoza)</w:t>
      </w:r>
    </w:p>
    <w:p>
      <w:pPr>
        <w:pStyle w:val="Heading1"/>
        <w:spacing w:after="120" w:before="260"/>
      </w:pPr>
      <w:r>
        <w:rPr>
          <w:b/>
          <w:bCs/>
          <w:color w:val="2F5496"/>
        </w:rPr>
        <w:t xml:space="preserve">Motivacion</w:t>
      </w:r>
    </w:p>
    <w:p>
      <w:pPr>
        <w:spacing w:after="140"/>
      </w:pPr>
      <w:r>
        <w:t xml:space="preserve">Al buscar fuentes reales para Aragon y sus ayuntamientos, se descarto el Boletin Oficial de Aragon por prohibir explicitamente el acceso automatizado en su robots.txt. En su lugar se localizo una API de datos abiertos, oficial y documentada, del Ayuntamiento de Zaragoza (oferta de empleo publico), con salida en JSON. Ni BOE_API (especifico del BOE) ni SELENIUM (pensado para HTML renderizado) encajaban con este tipo de fuente, por lo que se diseño un tercer tipo de watcher, JSON_API, generico para cualquier API de datos abiertos con estructura similar.</w:t>
      </w:r>
    </w:p>
    <w:p>
      <w:pPr>
        <w:pStyle w:val="Heading1"/>
        <w:spacing w:after="120" w:before="260"/>
      </w:pPr>
      <w:r>
        <w:rPr>
          <w:b/>
          <w:bCs/>
          <w:color w:val="2F5496"/>
        </w:rPr>
        <w:t xml:space="preserve">Decisiones aplicadas</w:t>
      </w:r>
    </w:p>
    <w:p>
      <w:pPr>
        <w:pStyle w:val="ListParagraph"/>
        <w:numPr>
          <w:ilvl w:val="0"/>
          <w:numId w:val="1"/>
        </w:numPr>
        <w:spacing w:after="80"/>
      </w:pPr>
      <w:r>
        <w:rPr>
          <w:b/>
          <w:bCs/>
        </w:rPr>
        <w:t xml:space="preserve">JsonPath como mecanismo generico de aplanado. </w:t>
      </w:r>
      <w:r>
        <w:t xml:space="preserve">En vez de escribir codigo especifico para la estructura anidada de cada API (la de Zaragoza agrupa convocatorias en categorias, cada una con su propia lista items), se usa una unica expresion JsonPath configurable por watcher (por ejemplo $.result[*].items[*]), reutilizable para cualquier fuente con forma similar.</w:t>
      </w:r>
    </w:p>
    <w:p>
      <w:pPr>
        <w:pStyle w:val="ListParagraph"/>
        <w:numPr>
          <w:ilvl w:val="0"/>
          <w:numId w:val="1"/>
        </w:numPr>
        <w:spacing w:after="80"/>
      </w:pPr>
      <w:r>
        <w:rPr>
          <w:b/>
          <w:bCs/>
        </w:rPr>
        <w:t xml:space="preserve">Tolerancia a estructuras incompletas. </w:t>
      </w:r>
      <w:r>
        <w:t xml:space="preserve">La API real de Zaragoza no incluye la clave items en todas sus categorias. Se configura JsonPath con SUPPRESS_EXCEPTIONS para que una clave ausente en una categoria no rompa la lectura del resto.</w:t>
      </w:r>
    </w:p>
    <w:p>
      <w:pPr>
        <w:pStyle w:val="ListParagraph"/>
        <w:numPr>
          <w:ilvl w:val="0"/>
          <w:numId w:val="1"/>
        </w:numPr>
        <w:spacing w:after="80"/>
      </w:pPr>
      <w:r>
        <w:rPr>
          <w:b/>
          <w:bCs/>
        </w:rPr>
        <w:t xml:space="preserve">Organismo como texto fijo, no extraido. </w:t>
      </w:r>
      <w:r>
        <w:t xml:space="preserve">A diferencia de BOE_API, estas APIs no siempre incluyen el organismo convocante en cada item. Se anade organizationText, un texto que escribe el administrador al crear el watcher (por ejemplo 'Ayuntamiento de Zaragoza'), en lugar de intentar extraerlo del JSON.</w:t>
      </w:r>
    </w:p>
    <w:p>
      <w:pPr>
        <w:pStyle w:val="ListParagraph"/>
        <w:numPr>
          <w:ilvl w:val="0"/>
          <w:numId w:val="1"/>
        </w:numPr>
        <w:spacing w:after="80"/>
      </w:pPr>
      <w:r>
        <w:rPr>
          <w:b/>
          <w:bCs/>
        </w:rPr>
        <w:t xml:space="preserve">Respeto al robots.txt como criterio de descarte. </w:t>
      </w:r>
      <w:r>
        <w:t xml:space="preserve">Se comprobo el robots.txt tanto de la web de Aragon (boa.aragon.es, aragon.es) como del buscador oficial de empleo publico del Estado (administracion.gob.es), descartando ambos por prohibir el acceso automatizado, antes de buscar una alternativa legitima.</w:t>
      </w:r>
    </w:p>
    <w:p>
      <w:pPr>
        <w:pStyle w:val="Heading1"/>
        <w:spacing w:after="120" w:before="260"/>
      </w:pPr>
      <w:r>
        <w:rPr>
          <w:b/>
          <w:bCs/>
          <w:color w:val="2F5496"/>
        </w:rPr>
        <w:t xml:space="preserve">Archivos creados o modificados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800"/>
      </w:tblGrid>
      <w:tr>
        <w:tc>
          <w:tcPr>
            <w:tcW w:type="dxa" w:w="2600"/>
            <w:shd w:fill="EDEDED" w:val="clear"/>
            <w:tcMar>
              <w:top w:type="dxa" w:w="80"/>
              <w:left w:type="dxa" w:w="100"/>
              <w:bottom w:type="dxa" w:w="80"/>
              <w:right w:type="dxa" w:w="100"/>
            </w:tcMar>
          </w:tcPr>
          <w:p>
            <w:r>
              <w:rPr>
                <w:b/>
                <w:bCs/>
                <w:sz w:val="20"/>
                <w:szCs w:val="20"/>
              </w:rPr>
              <w:t xml:space="preserve">Archivo</w:t>
            </w:r>
          </w:p>
        </w:tc>
        <w:tc>
          <w:tcPr>
            <w:tcW w:type="dxa" w:w="2000"/>
            <w:shd w:fill="EDEDED" w:val="clear"/>
            <w:tcMar>
              <w:top w:type="dxa" w:w="80"/>
              <w:left w:type="dxa" w:w="100"/>
              <w:bottom w:type="dxa" w:w="80"/>
              <w:right w:type="dxa" w:w="100"/>
            </w:tcMar>
          </w:tcPr>
          <w:p>
            <w:r>
              <w:rPr>
                <w:b/>
                <w:bCs/>
                <w:sz w:val="20"/>
                <w:szCs w:val="20"/>
              </w:rPr>
              <w:t xml:space="preserve">Tipo</w:t>
            </w:r>
          </w:p>
        </w:tc>
        <w:tc>
          <w:tcPr>
            <w:tcW w:type="dxa" w:w="4800"/>
            <w:shd w:fill="EDEDED" w:val="clear"/>
            <w:tcMar>
              <w:top w:type="dxa" w:w="80"/>
              <w:left w:type="dxa" w:w="100"/>
              <w:bottom w:type="dxa" w:w="80"/>
              <w:right w:type="dxa" w:w="100"/>
            </w:tcMar>
          </w:tcPr>
          <w:p>
            <w:r>
              <w:rPr>
                <w:b/>
                <w:bCs/>
                <w:sz w:val="20"/>
                <w:szCs w:val="20"/>
              </w:rPr>
              <w:t xml:space="preserve">Contenido</w:t>
            </w:r>
          </w:p>
        </w:tc>
      </w:tr>
      <w:tr>
        <w:tc>
          <w:tcPr>
            <w:tcW w:type="dxa" w:w="2600"/>
            <w:tcMar>
              <w:top w:type="dxa" w:w="80"/>
              <w:left w:type="dxa" w:w="100"/>
              <w:bottom w:type="dxa" w:w="80"/>
              <w:right w:type="dxa" w:w="100"/>
            </w:tcMar>
          </w:tcPr>
          <w:p>
            <w:r>
              <w:rPr>
                <w:b w:val="false"/>
                <w:bCs w:val="false"/>
                <w:sz w:val="20"/>
                <w:szCs w:val="20"/>
              </w:rPr>
              <w:t xml:space="preserve">pom.xml (scraper-engine)</w:t>
            </w:r>
          </w:p>
        </w:tc>
        <w:tc>
          <w:tcPr>
            <w:tcW w:type="dxa" w:w="2000"/>
            <w:tcMar>
              <w:top w:type="dxa" w:w="80"/>
              <w:left w:type="dxa" w:w="100"/>
              <w:bottom w:type="dxa" w:w="80"/>
              <w:right w:type="dxa" w:w="100"/>
            </w:tcMar>
          </w:tcPr>
          <w:p>
            <w:r>
              <w:rPr>
                <w:b w:val="false"/>
                <w:bCs w:val="false"/>
                <w:sz w:val="20"/>
                <w:szCs w:val="20"/>
              </w:rPr>
              <w:t xml:space="preserve">Modificado</w:t>
            </w:r>
          </w:p>
        </w:tc>
        <w:tc>
          <w:tcPr>
            <w:tcW w:type="dxa" w:w="4800"/>
            <w:tcMar>
              <w:top w:type="dxa" w:w="80"/>
              <w:left w:type="dxa" w:w="100"/>
              <w:bottom w:type="dxa" w:w="80"/>
              <w:right w:type="dxa" w:w="100"/>
            </w:tcMar>
          </w:tcPr>
          <w:p>
            <w:r>
              <w:rPr>
                <w:b w:val="false"/>
                <w:bCs w:val="false"/>
                <w:sz w:val="20"/>
                <w:szCs w:val="20"/>
              </w:rPr>
              <w:t xml:space="preserve">Se anade la dependencia json-path, para leer y aplanar respuestas JSON de cualquier estructura mediante expresiones JsonPath.</w:t>
            </w:r>
          </w:p>
        </w:tc>
      </w:tr>
      <w:tr>
        <w:tc>
          <w:tcPr>
            <w:tcW w:type="dxa" w:w="2600"/>
            <w:tcMar>
              <w:top w:type="dxa" w:w="80"/>
              <w:left w:type="dxa" w:w="100"/>
              <w:bottom w:type="dxa" w:w="80"/>
              <w:right w:type="dxa" w:w="100"/>
            </w:tcMar>
          </w:tcPr>
          <w:p>
            <w:r>
              <w:rPr>
                <w:b w:val="false"/>
                <w:bCs w:val="false"/>
                <w:sz w:val="20"/>
                <w:szCs w:val="20"/>
              </w:rPr>
              <w:t xml:space="preserve">JsonApiScrapeRequest.java / JsonApiPostingResponse.java</w:t>
            </w:r>
          </w:p>
        </w:tc>
        <w:tc>
          <w:tcPr>
            <w:tcW w:type="dxa" w:w="2000"/>
            <w:tcMar>
              <w:top w:type="dxa" w:w="80"/>
              <w:left w:type="dxa" w:w="100"/>
              <w:bottom w:type="dxa" w:w="80"/>
              <w:right w:type="dxa" w:w="100"/>
            </w:tcMar>
          </w:tcPr>
          <w:p>
            <w:r>
              <w:rPr>
                <w:b w:val="false"/>
                <w:bCs w:val="false"/>
                <w:sz w:val="20"/>
                <w:szCs w:val="20"/>
              </w:rPr>
              <w:t xml:space="preserve">Nuevo</w:t>
            </w:r>
          </w:p>
        </w:tc>
        <w:tc>
          <w:tcPr>
            <w:tcW w:type="dxa" w:w="4800"/>
            <w:tcMar>
              <w:top w:type="dxa" w:w="80"/>
              <w:left w:type="dxa" w:w="100"/>
              <w:bottom w:type="dxa" w:w="80"/>
              <w:right w:type="dxa" w:w="100"/>
            </w:tcMar>
          </w:tcPr>
          <w:p>
            <w:r>
              <w:rPr>
                <w:b w:val="false"/>
                <w:bCs w:val="false"/>
                <w:sz w:val="20"/>
                <w:szCs w:val="20"/>
              </w:rPr>
              <w:t xml:space="preserve">Payloads de peticion (URL, expresion de items, nombres de campo) y de respuesta (titulo, url, fecha) para el nuevo motor de extraccion.</w:t>
            </w:r>
          </w:p>
        </w:tc>
      </w:tr>
      <w:tr>
        <w:tc>
          <w:tcPr>
            <w:tcW w:type="dxa" w:w="2600"/>
            <w:tcMar>
              <w:top w:type="dxa" w:w="80"/>
              <w:left w:type="dxa" w:w="100"/>
              <w:bottom w:type="dxa" w:w="80"/>
              <w:right w:type="dxa" w:w="100"/>
            </w:tcMar>
          </w:tcPr>
          <w:p>
            <w:r>
              <w:rPr>
                <w:b w:val="false"/>
                <w:bCs w:val="false"/>
                <w:sz w:val="20"/>
                <w:szCs w:val="20"/>
              </w:rPr>
              <w:t xml:space="preserve">JsonApiScraperService.java</w:t>
            </w:r>
          </w:p>
        </w:tc>
        <w:tc>
          <w:tcPr>
            <w:tcW w:type="dxa" w:w="2000"/>
            <w:tcMar>
              <w:top w:type="dxa" w:w="80"/>
              <w:left w:type="dxa" w:w="100"/>
              <w:bottom w:type="dxa" w:w="80"/>
              <w:right w:type="dxa" w:w="100"/>
            </w:tcMar>
          </w:tcPr>
          <w:p>
            <w:r>
              <w:rPr>
                <w:b w:val="false"/>
                <w:bCs w:val="false"/>
                <w:sz w:val="20"/>
                <w:szCs w:val="20"/>
              </w:rPr>
              <w:t xml:space="preserve">Nuevo</w:t>
            </w:r>
          </w:p>
        </w:tc>
        <w:tc>
          <w:tcPr>
            <w:tcW w:type="dxa" w:w="4800"/>
            <w:tcMar>
              <w:top w:type="dxa" w:w="80"/>
              <w:left w:type="dxa" w:w="100"/>
              <w:bottom w:type="dxa" w:w="80"/>
              <w:right w:type="dxa" w:w="100"/>
            </w:tcMar>
          </w:tcPr>
          <w:p>
            <w:r>
              <w:rPr>
                <w:b w:val="false"/>
                <w:bCs w:val="false"/>
                <w:sz w:val="20"/>
                <w:szCs w:val="20"/>
              </w:rPr>
              <w:t xml:space="preserve">Descarga el JSON de la URL indicada y usa JsonPath, configurado con proveedor Jackson y tolerante a claves ausentes, para extraer una lista plana de convocatorias sin importar la estructura anidada real de cada API.</w:t>
            </w:r>
          </w:p>
        </w:tc>
      </w:tr>
      <w:tr>
        <w:tc>
          <w:tcPr>
            <w:tcW w:type="dxa" w:w="2600"/>
            <w:tcMar>
              <w:top w:type="dxa" w:w="80"/>
              <w:left w:type="dxa" w:w="100"/>
              <w:bottom w:type="dxa" w:w="80"/>
              <w:right w:type="dxa" w:w="100"/>
            </w:tcMar>
          </w:tcPr>
          <w:p>
            <w:r>
              <w:rPr>
                <w:b w:val="false"/>
                <w:bCs w:val="false"/>
                <w:sz w:val="20"/>
                <w:szCs w:val="20"/>
              </w:rPr>
              <w:t xml:space="preserve">JsonApiScraperController.java</w:t>
            </w:r>
          </w:p>
        </w:tc>
        <w:tc>
          <w:tcPr>
            <w:tcW w:type="dxa" w:w="2000"/>
            <w:tcMar>
              <w:top w:type="dxa" w:w="80"/>
              <w:left w:type="dxa" w:w="100"/>
              <w:bottom w:type="dxa" w:w="80"/>
              <w:right w:type="dxa" w:w="100"/>
            </w:tcMar>
          </w:tcPr>
          <w:p>
            <w:r>
              <w:rPr>
                <w:b w:val="false"/>
                <w:bCs w:val="false"/>
                <w:sz w:val="20"/>
                <w:szCs w:val="20"/>
              </w:rPr>
              <w:t xml:space="preserve">Nuevo</w:t>
            </w:r>
          </w:p>
        </w:tc>
        <w:tc>
          <w:tcPr>
            <w:tcW w:type="dxa" w:w="4800"/>
            <w:tcMar>
              <w:top w:type="dxa" w:w="80"/>
              <w:left w:type="dxa" w:w="100"/>
              <w:bottom w:type="dxa" w:w="80"/>
              <w:right w:type="dxa" w:w="100"/>
            </w:tcMar>
          </w:tcPr>
          <w:p>
            <w:r>
              <w:rPr>
                <w:b w:val="false"/>
                <w:bCs w:val="false"/>
                <w:sz w:val="20"/>
                <w:szCs w:val="20"/>
              </w:rPr>
              <w:t xml:space="preserve">Expone POST /api/scraper/json, sin seguridad, siguiendo el mismo patron que los otros dos motores de extraccion.</w:t>
            </w:r>
          </w:p>
        </w:tc>
      </w:tr>
      <w:tr>
        <w:tc>
          <w:tcPr>
            <w:tcW w:type="dxa" w:w="2600"/>
            <w:tcMar>
              <w:top w:type="dxa" w:w="80"/>
              <w:left w:type="dxa" w:w="100"/>
              <w:bottom w:type="dxa" w:w="80"/>
              <w:right w:type="dxa" w:w="100"/>
            </w:tcMar>
          </w:tcPr>
          <w:p>
            <w:r>
              <w:rPr>
                <w:b w:val="false"/>
                <w:bCs w:val="false"/>
                <w:sz w:val="20"/>
                <w:szCs w:val="20"/>
              </w:rPr>
              <w:t xml:space="preserve">enums/SourceType.java (watchers)</w:t>
            </w:r>
          </w:p>
        </w:tc>
        <w:tc>
          <w:tcPr>
            <w:tcW w:type="dxa" w:w="2000"/>
            <w:tcMar>
              <w:top w:type="dxa" w:w="80"/>
              <w:left w:type="dxa" w:w="100"/>
              <w:bottom w:type="dxa" w:w="80"/>
              <w:right w:type="dxa" w:w="100"/>
            </w:tcMar>
          </w:tcPr>
          <w:p>
            <w:r>
              <w:rPr>
                <w:b w:val="false"/>
                <w:bCs w:val="false"/>
                <w:sz w:val="20"/>
                <w:szCs w:val="20"/>
              </w:rPr>
              <w:t xml:space="preserve">Modificado</w:t>
            </w:r>
          </w:p>
        </w:tc>
        <w:tc>
          <w:tcPr>
            <w:tcW w:type="dxa" w:w="4800"/>
            <w:tcMar>
              <w:top w:type="dxa" w:w="80"/>
              <w:left w:type="dxa" w:w="100"/>
              <w:bottom w:type="dxa" w:w="80"/>
              <w:right w:type="dxa" w:w="100"/>
            </w:tcMar>
          </w:tcPr>
          <w:p>
            <w:r>
              <w:rPr>
                <w:b w:val="false"/>
                <w:bCs w:val="false"/>
                <w:sz w:val="20"/>
                <w:szCs w:val="20"/>
              </w:rPr>
              <w:t xml:space="preserve">Se anade el valor JSON_API junto a BOE_API y SELENIUM.</w:t>
            </w:r>
          </w:p>
        </w:tc>
      </w:tr>
      <w:tr>
        <w:tc>
          <w:tcPr>
            <w:tcW w:type="dxa" w:w="2600"/>
            <w:tcMar>
              <w:top w:type="dxa" w:w="80"/>
              <w:left w:type="dxa" w:w="100"/>
              <w:bottom w:type="dxa" w:w="80"/>
              <w:right w:type="dxa" w:w="100"/>
            </w:tcMar>
          </w:tcPr>
          <w:p>
            <w:r>
              <w:rPr>
                <w:b w:val="false"/>
                <w:bCs w:val="false"/>
                <w:sz w:val="20"/>
                <w:szCs w:val="20"/>
              </w:rPr>
              <w:t xml:space="preserve">Watcher.java</w:t>
            </w:r>
          </w:p>
        </w:tc>
        <w:tc>
          <w:tcPr>
            <w:tcW w:type="dxa" w:w="2000"/>
            <w:tcMar>
              <w:top w:type="dxa" w:w="80"/>
              <w:left w:type="dxa" w:w="100"/>
              <w:bottom w:type="dxa" w:w="80"/>
              <w:right w:type="dxa" w:w="100"/>
            </w:tcMar>
          </w:tcPr>
          <w:p>
            <w:r>
              <w:rPr>
                <w:b w:val="false"/>
                <w:bCs w:val="false"/>
                <w:sz w:val="20"/>
                <w:szCs w:val="20"/>
              </w:rPr>
              <w:t xml:space="preserve">Modificado</w:t>
            </w:r>
          </w:p>
        </w:tc>
        <w:tc>
          <w:tcPr>
            <w:tcW w:type="dxa" w:w="4800"/>
            <w:tcMar>
              <w:top w:type="dxa" w:w="80"/>
              <w:left w:type="dxa" w:w="100"/>
              <w:bottom w:type="dxa" w:w="80"/>
              <w:right w:type="dxa" w:w="100"/>
            </w:tcMar>
          </w:tcPr>
          <w:p>
            <w:r>
              <w:rPr>
                <w:b w:val="false"/>
                <w:bCs w:val="false"/>
                <w:sz w:val="20"/>
                <w:szCs w:val="20"/>
              </w:rPr>
              <w:t xml:space="preserve">Se anaden los campos propios de JSON_API: itemsPath, titleField, linkField, dateField y organizationText (texto fijo, ya que estas APIs no siempre incluyen el organismo por convocatoria).</w:t>
            </w:r>
          </w:p>
        </w:tc>
      </w:tr>
      <w:tr>
        <w:tc>
          <w:tcPr>
            <w:tcW w:type="dxa" w:w="2600"/>
            <w:tcMar>
              <w:top w:type="dxa" w:w="80"/>
              <w:left w:type="dxa" w:w="100"/>
              <w:bottom w:type="dxa" w:w="80"/>
              <w:right w:type="dxa" w:w="100"/>
            </w:tcMar>
          </w:tcPr>
          <w:p>
            <w:r>
              <w:rPr>
                <w:b w:val="false"/>
                <w:bCs w:val="false"/>
                <w:sz w:val="20"/>
                <w:szCs w:val="20"/>
              </w:rPr>
              <w:t xml:space="preserve">CreateWatcherRequest.java / UpdateWatcherRequest.java / WatcherResponse.java</w:t>
            </w:r>
          </w:p>
        </w:tc>
        <w:tc>
          <w:tcPr>
            <w:tcW w:type="dxa" w:w="2000"/>
            <w:tcMar>
              <w:top w:type="dxa" w:w="80"/>
              <w:left w:type="dxa" w:w="100"/>
              <w:bottom w:type="dxa" w:w="80"/>
              <w:right w:type="dxa" w:w="100"/>
            </w:tcMar>
          </w:tcPr>
          <w:p>
            <w:r>
              <w:rPr>
                <w:b w:val="false"/>
                <w:bCs w:val="false"/>
                <w:sz w:val="20"/>
                <w:szCs w:val="20"/>
              </w:rPr>
              <w:t xml:space="preserve">Modificado</w:t>
            </w:r>
          </w:p>
        </w:tc>
        <w:tc>
          <w:tcPr>
            <w:tcW w:type="dxa" w:w="4800"/>
            <w:tcMar>
              <w:top w:type="dxa" w:w="80"/>
              <w:left w:type="dxa" w:w="100"/>
              <w:bottom w:type="dxa" w:w="80"/>
              <w:right w:type="dxa" w:w="100"/>
            </w:tcMar>
          </w:tcPr>
          <w:p>
            <w:r>
              <w:rPr>
                <w:b w:val="false"/>
                <w:bCs w:val="false"/>
                <w:sz w:val="20"/>
                <w:szCs w:val="20"/>
              </w:rPr>
              <w:t xml:space="preserve">Incorporan los mismos campos nuevos para crear, actualizar y devolver watchers de tipo JSON_API.</w:t>
            </w:r>
          </w:p>
        </w:tc>
      </w:tr>
      <w:tr>
        <w:tc>
          <w:tcPr>
            <w:tcW w:type="dxa" w:w="2600"/>
            <w:tcMar>
              <w:top w:type="dxa" w:w="80"/>
              <w:left w:type="dxa" w:w="100"/>
              <w:bottom w:type="dxa" w:w="80"/>
              <w:right w:type="dxa" w:w="100"/>
            </w:tcMar>
          </w:tcPr>
          <w:p>
            <w:r>
              <w:rPr>
                <w:b w:val="false"/>
                <w:bCs w:val="false"/>
                <w:sz w:val="20"/>
                <w:szCs w:val="20"/>
              </w:rPr>
              <w:t xml:space="preserve">WatcherService.java</w:t>
            </w:r>
          </w:p>
        </w:tc>
        <w:tc>
          <w:tcPr>
            <w:tcW w:type="dxa" w:w="2000"/>
            <w:tcMar>
              <w:top w:type="dxa" w:w="80"/>
              <w:left w:type="dxa" w:w="100"/>
              <w:bottom w:type="dxa" w:w="80"/>
              <w:right w:type="dxa" w:w="100"/>
            </w:tcMar>
          </w:tcPr>
          <w:p>
            <w:r>
              <w:rPr>
                <w:b w:val="false"/>
                <w:bCs w:val="false"/>
                <w:sz w:val="20"/>
                <w:szCs w:val="20"/>
              </w:rPr>
              <w:t xml:space="preserve">Modificado</w:t>
            </w:r>
          </w:p>
        </w:tc>
        <w:tc>
          <w:tcPr>
            <w:tcW w:type="dxa" w:w="4800"/>
            <w:tcMar>
              <w:top w:type="dxa" w:w="80"/>
              <w:left w:type="dxa" w:w="100"/>
              <w:bottom w:type="dxa" w:w="80"/>
              <w:right w:type="dxa" w:w="100"/>
            </w:tcMar>
          </w:tcPr>
          <w:p>
            <w:r>
              <w:rPr>
                <w:b w:val="false"/>
                <w:bCs w:val="false"/>
                <w:sz w:val="20"/>
                <w:szCs w:val="20"/>
              </w:rPr>
              <w:t xml:space="preserve">applySourceFields valida y limpia los campos segun el tipo de fuente elegido, incluyendo la nueva rama JSON_API.</w:t>
            </w:r>
          </w:p>
        </w:tc>
      </w:tr>
      <w:tr>
        <w:tc>
          <w:tcPr>
            <w:tcW w:type="dxa" w:w="2600"/>
            <w:tcMar>
              <w:top w:type="dxa" w:w="80"/>
              <w:left w:type="dxa" w:w="100"/>
              <w:bottom w:type="dxa" w:w="80"/>
              <w:right w:type="dxa" w:w="100"/>
            </w:tcMar>
          </w:tcPr>
          <w:p>
            <w:r>
              <w:rPr>
                <w:b w:val="false"/>
                <w:bCs w:val="false"/>
                <w:sz w:val="20"/>
                <w:szCs w:val="20"/>
              </w:rPr>
              <w:t xml:space="preserve">ScraperEngineClient.java / ScrapingExecutionService.java (watchers)</w:t>
            </w:r>
          </w:p>
        </w:tc>
        <w:tc>
          <w:tcPr>
            <w:tcW w:type="dxa" w:w="2000"/>
            <w:tcMar>
              <w:top w:type="dxa" w:w="80"/>
              <w:left w:type="dxa" w:w="100"/>
              <w:bottom w:type="dxa" w:w="80"/>
              <w:right w:type="dxa" w:w="100"/>
            </w:tcMar>
          </w:tcPr>
          <w:p>
            <w:r>
              <w:rPr>
                <w:b w:val="false"/>
                <w:bCs w:val="false"/>
                <w:sz w:val="20"/>
                <w:szCs w:val="20"/>
              </w:rPr>
              <w:t xml:space="preserve">Modificado</w:t>
            </w:r>
          </w:p>
        </w:tc>
        <w:tc>
          <w:tcPr>
            <w:tcW w:type="dxa" w:w="4800"/>
            <w:tcMar>
              <w:top w:type="dxa" w:w="80"/>
              <w:left w:type="dxa" w:w="100"/>
              <w:bottom w:type="dxa" w:w="80"/>
              <w:right w:type="dxa" w:w="100"/>
            </w:tcMar>
          </w:tcPr>
          <w:p>
            <w:r>
              <w:rPr>
                <w:b w:val="false"/>
                <w:bCs w:val="false"/>
                <w:sz w:val="20"/>
                <w:szCs w:val="20"/>
              </w:rPr>
              <w:t xml:space="preserve">Se anade fetchJsonApiPostings y la seleccion del motor correcto segun sourceType.</w:t>
            </w:r>
          </w:p>
        </w:tc>
      </w:tr>
    </w:tbl>
    <w:p>
      <w:pPr>
        <w:pStyle w:val="Heading1"/>
        <w:spacing w:after="120" w:before="260"/>
      </w:pPr>
      <w:r>
        <w:rPr>
          <w:b/>
          <w:bCs/>
          <w:color w:val="2F5496"/>
        </w:rPr>
        <w:t xml:space="preserve">Incidencias detectadas y resueltas</w:t>
      </w:r>
    </w:p>
    <w:p>
      <w:pPr>
        <w:pStyle w:val="ListParagraph"/>
        <w:numPr>
          <w:ilvl w:val="0"/>
          <w:numId w:val="1"/>
        </w:numPr>
        <w:spacing w:after="80"/>
      </w:pPr>
      <w:r>
        <w:rPr>
          <w:b/>
          <w:bCs/>
        </w:rPr>
        <w:t xml:space="preserve">Restriccion CHECK desactualizada en la base de datos. </w:t>
      </w:r>
      <w:r>
        <w:t xml:space="preserve">La tabla watchers se creo en el Bloque 6 con una restriccion CHECK que solo permitia los valores BOE_API y SELENIUM. Anadir JSON_API al codigo Java no actualiza automaticamente esa restriccion (ddl-auto=update no modifica CHECK ya existentes), lo que provocaba un error 500 al guardar. Se corrigio eliminando y recreando la restriccion manualmente con ALTER TABLE.</w:t>
      </w:r>
    </w:p>
    <w:p>
      <w:pPr>
        <w:pStyle w:val="ListParagraph"/>
        <w:numPr>
          <w:ilvl w:val="0"/>
          <w:numId w:val="1"/>
        </w:numPr>
        <w:spacing w:after="80"/>
      </w:pPr>
      <w:r>
        <w:rPr>
          <w:b/>
          <w:bCs/>
        </w:rPr>
        <w:t xml:space="preserve">Json-smart no soporta TypeRef. </w:t>
      </w:r>
      <w:r>
        <w:t xml:space="preserve">El proveedor por defecto de JsonPath (json-smart) no puede convertir resultados a tipos genericos como List de Map. Se configuro JsonPath explicitamente con JacksonJsonProvider y JacksonMappingProvider, aprovechando que Jackson ya estaba en el classpath del proyecto.</w:t>
      </w:r>
    </w:p>
    <w:p>
      <w:pPr>
        <w:pStyle w:val="Heading1"/>
        <w:spacing w:after="120" w:before="260"/>
      </w:pPr>
      <w:r>
        <w:rPr>
          <w:b/>
          <w:bCs/>
          <w:color w:val="2F5496"/>
        </w:rPr>
        <w:t xml:space="preserve">Verificacion realizada</w:t>
      </w:r>
    </w:p>
    <w:p>
      <w:pPr>
        <w:spacing w:after="140"/>
      </w:pPr>
      <w:r>
        <w:t xml:space="preserve">Se ha probado con datos reales del Ayuntamiento de Zaragoza: el endpoint POST /api/scraper/json devuelve correctamente la lista de convocatorias reales tras corregir el proveedor de JsonPath. Un watcher JSON_API creado contra esa API detecto de forma automatica, antes incluso de la prueba manual, una convocatoria real de perfil informatico (COSIOPO TECNICO MEDIO INFORMATICO 2026), visible en el feed publico con su enlace real y funcional a la ficha oficial de la convocatoria.</w:t>
      </w:r>
    </w:p>
    <w:p>
      <w:pPr>
        <w:pStyle w:val="Heading1"/>
        <w:spacing w:after="120" w:before="260"/>
      </w:pPr>
      <w:r>
        <w:rPr>
          <w:b/>
          <w:bCs/>
          <w:color w:val="2F5496"/>
        </w:rPr>
        <w:t xml:space="preserve">Pendiente para la siguiente sesion</w:t>
      </w:r>
    </w:p>
    <w:p>
      <w:pPr>
        <w:pStyle w:val="ListParagraph"/>
        <w:numPr>
          <w:ilvl w:val="0"/>
          <w:numId w:val="1"/>
        </w:numPr>
        <w:spacing w:after="80"/>
      </w:pPr>
      <w:r>
        <w:rPr>
          <w:b/>
          <w:bCs/>
        </w:rPr>
        <w:t xml:space="preserve">Formulario de creacion y edicion de watchers (frontend). </w:t>
      </w:r>
      <w:r>
        <w:t xml:space="preserve">Falta anadir la opcion JSON_API al desplegable de tipo de fuente y los campos correspondientes (itemsPath, titleField, linkField, dateField, organizationText), siguiendo el mismo patron condicional ya usado para Selenium.</w:t>
      </w:r>
    </w:p>
    <w:p>
      <w:pPr>
        <w:pStyle w:val="ListParagraph"/>
        <w:numPr>
          <w:ilvl w:val="0"/>
          <w:numId w:val="1"/>
        </w:numPr>
        <w:spacing w:after="80"/>
      </w:pPr>
      <w:r>
        <w:rPr>
          <w:b/>
          <w:bCs/>
        </w:rPr>
        <w:t xml:space="preserve">Comprobar Huesca y Teruel. </w:t>
      </w:r>
      <w:r>
        <w:t xml:space="preserve">Localizar si los ayuntamientos de Huesca y Teruel disponen de una API de datos abiertos similar a la de Zaragoza, o si requeriran un watcher de tipo SELENIUM.</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2026-09-01T18:41:09.233Z</dcterms:created>
  <dcterms:modified xsi:type="dcterms:W3CDTF">2026-09-01T18:41:09.244Z</dcterms:modified>
</cp:coreProperties>
</file>

<file path=docProps/custom.xml><?xml version="1.0" encoding="utf-8"?>
<Properties xmlns="http://schemas.openxmlformats.org/officeDocument/2006/custom-properties" xmlns:vt="http://schemas.openxmlformats.org/officeDocument/2006/docPropsVTypes"/>
</file>