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F5496"/>
          <w:sz w:val="44"/>
          <w:szCs w:val="44"/>
        </w:rPr>
        <w:t xml:space="preserve">OpoWatch</w:t>
      </w:r>
    </w:p>
    <w:p>
      <w:pPr>
        <w:spacing w:after="320"/>
        <w:jc w:val="center"/>
      </w:pPr>
      <w:r>
        <w:rPr>
          <w:i/>
          <w:iCs/>
          <w:sz w:val="24"/>
          <w:szCs w:val="24"/>
        </w:rPr>
        <w:t xml:space="preserve">Bloque 14: Conexion entre watchers, users y notifications</w:t>
      </w:r>
    </w:p>
    <w:p>
      <w:pPr>
        <w:pStyle w:val="Heading1"/>
        <w:spacing w:after="120" w:before="260"/>
      </w:pPr>
      <w:r>
        <w:rPr>
          <w:b/>
          <w:bCs/>
          <w:color w:val="2F5496"/>
        </w:rPr>
        <w:t xml:space="preserve">Objetivo del bloque</w:t>
      </w:r>
    </w:p>
    <w:p>
      <w:pPr>
        <w:spacing w:after="140"/>
      </w:pPr>
      <w:r>
        <w:t xml:space="preserve">Cerrar el flujo completo del backend: cuando watchers detecta novedades, pide a users la lista de emails suscritos y llama a notifications para avisarles, sin que un fallo en el aviso por email impida que el resultado quede guardado y visible en el feed publico.</w:t>
      </w:r>
    </w:p>
    <w:p>
      <w:pPr>
        <w:pStyle w:val="Heading1"/>
        <w:spacing w:after="120" w:before="260"/>
      </w:pPr>
      <w:r>
        <w:rPr>
          <w:b/>
          <w:bCs/>
          <w:color w:val="2F5496"/>
        </w:rPr>
        <w:t xml:space="preserve">Decisiones aplicadas</w:t>
      </w:r>
    </w:p>
    <w:p>
      <w:pPr>
        <w:pStyle w:val="ListParagraph"/>
        <w:numPr>
          <w:ilvl w:val="0"/>
          <w:numId w:val="1"/>
        </w:numPr>
        <w:spacing w:after="80"/>
      </w:pPr>
      <w:r>
        <w:rPr>
          <w:b/>
          <w:bCs/>
        </w:rPr>
        <w:t xml:space="preserve">Clave interna compartida en lugar de JWT. </w:t>
      </w:r>
      <w:r>
        <w:t xml:space="preserve">El scheduler de watchers se ejecuta sin ninguna peticion HTTP entrante de la que reenviar un token, asi que la llamada a /api/user/subscribers se autentica con una cabecera propia, X-Internal-Api-Key, comprobada a mano dentro del controlador, con el mismo valor configurado en ambos microservicios.</w:t>
      </w:r>
    </w:p>
    <w:p>
      <w:pPr>
        <w:pStyle w:val="ListParagraph"/>
        <w:numPr>
          <w:ilvl w:val="0"/>
          <w:numId w:val="1"/>
        </w:numPr>
        <w:spacing w:after="80"/>
      </w:pPr>
      <w:r>
        <w:rPr>
          <w:b/>
          <w:bCs/>
        </w:rPr>
        <w:t xml:space="preserve">El endpoint interno vive fuera de la seguridad JWT de Spring. </w:t>
      </w:r>
      <w:r>
        <w:t xml:space="preserve">Al no llevar token, /api/user/subscribers se declara en la cadena publica de Spring Security; su proteccion real depende exclusivamente de que la clave interna coincida, verificada dentro del propio metodo del controlador.</w:t>
      </w:r>
    </w:p>
    <w:p>
      <w:pPr>
        <w:pStyle w:val="ListParagraph"/>
        <w:numPr>
          <w:ilvl w:val="0"/>
          <w:numId w:val="1"/>
        </w:numPr>
        <w:spacing w:after="80"/>
      </w:pPr>
      <w:r>
        <w:rPr>
          <w:b/>
          <w:bCs/>
        </w:rPr>
        <w:t xml:space="preserve">La notificacion nunca puede romper el scraping. </w:t>
      </w:r>
      <w:r>
        <w:t xml:space="preserve">Si users o notifications no responden, o la notificacion falla por cualquier motivo, el error se registra en el log pero el metodo runWatcher continua y devuelve el numero de novedades guardadas con normalidad.</w:t>
      </w:r>
    </w:p>
    <w:p>
      <w:pPr>
        <w:pStyle w:val="ListParagraph"/>
        <w:numPr>
          <w:ilvl w:val="0"/>
          <w:numId w:val="1"/>
        </w:numPr>
        <w:spacing w:after="80"/>
      </w:pPr>
      <w:r>
        <w:rPr>
          <w:b/>
          <w:bCs/>
        </w:rPr>
        <w:t xml:space="preserve">Sin suscriptores, no se llama a notifications. </w:t>
      </w:r>
      <w:r>
        <w:t xml:space="preserve">Si la lista de emails suscritos viene vacia, no tiene sentido invocar el microservicio de envio; se ahorra una llamada de red innecesaria.</w:t>
      </w:r>
    </w:p>
    <w:p>
      <w:pPr>
        <w:pStyle w:val="Heading1"/>
        <w:spacing w:after="120" w:before="260"/>
      </w:pPr>
      <w:r>
        <w:rPr>
          <w:b/>
          <w:bCs/>
          <w:color w:val="2F5496"/>
        </w:rPr>
        <w:t xml:space="preserve">Archivos creados o modificados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800"/>
      </w:tblGrid>
      <w:tr>
        <w:tc>
          <w:tcPr>
            <w:tcW w:type="dxa" w:w="2600"/>
            <w:shd w:fill="EDEDED" w:val="clear"/>
            <w:tcMar>
              <w:top w:type="dxa" w:w="80"/>
              <w:left w:type="dxa" w:w="100"/>
              <w:bottom w:type="dxa" w:w="80"/>
              <w:right w:type="dxa" w:w="100"/>
            </w:tcMar>
          </w:tcPr>
          <w:p>
            <w:r>
              <w:rPr>
                <w:b/>
                <w:bCs/>
                <w:sz w:val="20"/>
                <w:szCs w:val="20"/>
              </w:rPr>
              <w:t xml:space="preserve">Archivo</w:t>
            </w:r>
          </w:p>
        </w:tc>
        <w:tc>
          <w:tcPr>
            <w:tcW w:type="dxa" w:w="2000"/>
            <w:shd w:fill="EDEDED" w:val="clear"/>
            <w:tcMar>
              <w:top w:type="dxa" w:w="80"/>
              <w:left w:type="dxa" w:w="100"/>
              <w:bottom w:type="dxa" w:w="80"/>
              <w:right w:type="dxa" w:w="100"/>
            </w:tcMar>
          </w:tcPr>
          <w:p>
            <w:r>
              <w:rPr>
                <w:b/>
                <w:bCs/>
                <w:sz w:val="20"/>
                <w:szCs w:val="20"/>
              </w:rPr>
              <w:t xml:space="preserve">Tipo</w:t>
            </w:r>
          </w:p>
        </w:tc>
        <w:tc>
          <w:tcPr>
            <w:tcW w:type="dxa" w:w="4800"/>
            <w:shd w:fill="EDEDED" w:val="clear"/>
            <w:tcMar>
              <w:top w:type="dxa" w:w="80"/>
              <w:left w:type="dxa" w:w="100"/>
              <w:bottom w:type="dxa" w:w="80"/>
              <w:right w:type="dxa" w:w="100"/>
            </w:tcMar>
          </w:tcPr>
          <w:p>
            <w:r>
              <w:rPr>
                <w:b/>
                <w:bCs/>
                <w:sz w:val="20"/>
                <w:szCs w:val="20"/>
              </w:rPr>
              <w:t xml:space="preserve">Contenido</w:t>
            </w:r>
          </w:p>
        </w:tc>
      </w:tr>
      <w:tr>
        <w:tc>
          <w:tcPr>
            <w:tcW w:type="dxa" w:w="2600"/>
            <w:tcMar>
              <w:top w:type="dxa" w:w="80"/>
              <w:left w:type="dxa" w:w="100"/>
              <w:bottom w:type="dxa" w:w="80"/>
              <w:right w:type="dxa" w:w="100"/>
            </w:tcMar>
          </w:tcPr>
          <w:p>
            <w:r>
              <w:rPr>
                <w:b w:val="false"/>
                <w:bCs w:val="false"/>
                <w:sz w:val="20"/>
                <w:szCs w:val="20"/>
              </w:rPr>
              <w:t xml:space="preserve">application.properties (users)</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Se anade internal.api-key, la clave compartida que identifica a los propios microservicios entre si.</w:t>
            </w:r>
          </w:p>
        </w:tc>
      </w:tr>
      <w:tr>
        <w:tc>
          <w:tcPr>
            <w:tcW w:type="dxa" w:w="2600"/>
            <w:tcMar>
              <w:top w:type="dxa" w:w="80"/>
              <w:left w:type="dxa" w:w="100"/>
              <w:bottom w:type="dxa" w:w="80"/>
              <w:right w:type="dxa" w:w="100"/>
            </w:tcMar>
          </w:tcPr>
          <w:p>
            <w:r>
              <w:rPr>
                <w:b w:val="false"/>
                <w:bCs w:val="false"/>
                <w:sz w:val="20"/>
                <w:szCs w:val="20"/>
              </w:rPr>
              <w:t xml:space="preserve">UserRepository.java</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Se anade findBySubscribedToNotificationsTrue.</w:t>
            </w:r>
          </w:p>
        </w:tc>
      </w:tr>
      <w:tr>
        <w:tc>
          <w:tcPr>
            <w:tcW w:type="dxa" w:w="2600"/>
            <w:tcMar>
              <w:top w:type="dxa" w:w="80"/>
              <w:left w:type="dxa" w:w="100"/>
              <w:bottom w:type="dxa" w:w="80"/>
              <w:right w:type="dxa" w:w="100"/>
            </w:tcMar>
          </w:tcPr>
          <w:p>
            <w:r>
              <w:rPr>
                <w:b w:val="false"/>
                <w:bCs w:val="false"/>
                <w:sz w:val="20"/>
                <w:szCs w:val="20"/>
              </w:rPr>
              <w:t xml:space="preserve">UserService.java</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Se anade findSubscriberEmails, que devuelve solo el email de los usuarios suscritos.</w:t>
            </w:r>
          </w:p>
        </w:tc>
      </w:tr>
      <w:tr>
        <w:tc>
          <w:tcPr>
            <w:tcW w:type="dxa" w:w="2600"/>
            <w:tcMar>
              <w:top w:type="dxa" w:w="80"/>
              <w:left w:type="dxa" w:w="100"/>
              <w:bottom w:type="dxa" w:w="80"/>
              <w:right w:type="dxa" w:w="100"/>
            </w:tcMar>
          </w:tcPr>
          <w:p>
            <w:r>
              <w:rPr>
                <w:b w:val="false"/>
                <w:bCs w:val="false"/>
                <w:sz w:val="20"/>
                <w:szCs w:val="20"/>
              </w:rPr>
              <w:t xml:space="preserve">UserController.java</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Se anade GET /api/user/subscribers, protegido por la cabecera X-Internal-Api-Key en lugar de un JWT.</w:t>
            </w:r>
          </w:p>
        </w:tc>
      </w:tr>
      <w:tr>
        <w:tc>
          <w:tcPr>
            <w:tcW w:type="dxa" w:w="2600"/>
            <w:tcMar>
              <w:top w:type="dxa" w:w="80"/>
              <w:left w:type="dxa" w:w="100"/>
              <w:bottom w:type="dxa" w:w="80"/>
              <w:right w:type="dxa" w:w="100"/>
            </w:tcMar>
          </w:tcPr>
          <w:p>
            <w:r>
              <w:rPr>
                <w:b w:val="false"/>
                <w:bCs w:val="false"/>
                <w:sz w:val="20"/>
                <w:szCs w:val="20"/>
              </w:rPr>
              <w:t xml:space="preserve">SecurityConfig.java (users)</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Se anade GET /api/user/subscribers a la cadena publica de Spring Security, ya que su proteccion real ocurre dentro del propio controlador.</w:t>
            </w:r>
          </w:p>
        </w:tc>
      </w:tr>
      <w:tr>
        <w:tc>
          <w:tcPr>
            <w:tcW w:type="dxa" w:w="2600"/>
            <w:tcMar>
              <w:top w:type="dxa" w:w="80"/>
              <w:left w:type="dxa" w:w="100"/>
              <w:bottom w:type="dxa" w:w="80"/>
              <w:right w:type="dxa" w:w="100"/>
            </w:tcMar>
          </w:tcPr>
          <w:p>
            <w:r>
              <w:rPr>
                <w:b w:val="false"/>
                <w:bCs w:val="false"/>
                <w:sz w:val="20"/>
                <w:szCs w:val="20"/>
              </w:rPr>
              <w:t xml:space="preserve">application.properties (watchers)</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Se anaden users.base-url, notifications.base-url e internal.api-key (identico al de users).</w:t>
            </w:r>
          </w:p>
        </w:tc>
      </w:tr>
      <w:tr>
        <w:tc>
          <w:tcPr>
            <w:tcW w:type="dxa" w:w="2600"/>
            <w:tcMar>
              <w:top w:type="dxa" w:w="80"/>
              <w:left w:type="dxa" w:w="100"/>
              <w:bottom w:type="dxa" w:w="80"/>
              <w:right w:type="dxa" w:w="100"/>
            </w:tcMar>
          </w:tcPr>
          <w:p>
            <w:r>
              <w:rPr>
                <w:b w:val="false"/>
                <w:bCs w:val="false"/>
                <w:sz w:val="20"/>
                <w:szCs w:val="20"/>
              </w:rPr>
              <w:t xml:space="preserve">client/dto/*.java (watchers)</w:t>
            </w:r>
          </w:p>
        </w:tc>
        <w:tc>
          <w:tcPr>
            <w:tcW w:type="dxa" w:w="2000"/>
            <w:tcMar>
              <w:top w:type="dxa" w:w="80"/>
              <w:left w:type="dxa" w:w="100"/>
              <w:bottom w:type="dxa" w:w="80"/>
              <w:right w:type="dxa" w:w="100"/>
            </w:tcMar>
          </w:tcPr>
          <w:p>
            <w:r>
              <w:rPr>
                <w:b w:val="false"/>
                <w:bCs w:val="false"/>
                <w:sz w:val="20"/>
                <w:szCs w:val="20"/>
              </w:rPr>
              <w:t xml:space="preserve">Nuevo</w:t>
            </w:r>
          </w:p>
        </w:tc>
        <w:tc>
          <w:tcPr>
            <w:tcW w:type="dxa" w:w="4800"/>
            <w:tcMar>
              <w:top w:type="dxa" w:w="80"/>
              <w:left w:type="dxa" w:w="100"/>
              <w:bottom w:type="dxa" w:w="80"/>
              <w:right w:type="dxa" w:w="100"/>
            </w:tcMar>
          </w:tcPr>
          <w:p>
            <w:r>
              <w:rPr>
                <w:b w:val="false"/>
                <w:bCs w:val="false"/>
                <w:sz w:val="20"/>
                <w:szCs w:val="20"/>
              </w:rPr>
              <w:t xml:space="preserve">DTOs para hablar con notifications: resumen de convocatoria, peticion de notificacion y resultado.</w:t>
            </w:r>
          </w:p>
        </w:tc>
      </w:tr>
      <w:tr>
        <w:tc>
          <w:tcPr>
            <w:tcW w:type="dxa" w:w="2600"/>
            <w:tcMar>
              <w:top w:type="dxa" w:w="80"/>
              <w:left w:type="dxa" w:w="100"/>
              <w:bottom w:type="dxa" w:w="80"/>
              <w:right w:type="dxa" w:w="100"/>
            </w:tcMar>
          </w:tcPr>
          <w:p>
            <w:r>
              <w:rPr>
                <w:b w:val="false"/>
                <w:bCs w:val="false"/>
                <w:sz w:val="20"/>
                <w:szCs w:val="20"/>
              </w:rPr>
              <w:t xml:space="preserve">UsersClient.java</w:t>
            </w:r>
          </w:p>
        </w:tc>
        <w:tc>
          <w:tcPr>
            <w:tcW w:type="dxa" w:w="2000"/>
            <w:tcMar>
              <w:top w:type="dxa" w:w="80"/>
              <w:left w:type="dxa" w:w="100"/>
              <w:bottom w:type="dxa" w:w="80"/>
              <w:right w:type="dxa" w:w="100"/>
            </w:tcMar>
          </w:tcPr>
          <w:p>
            <w:r>
              <w:rPr>
                <w:b w:val="false"/>
                <w:bCs w:val="false"/>
                <w:sz w:val="20"/>
                <w:szCs w:val="20"/>
              </w:rPr>
              <w:t xml:space="preserve">Nuevo</w:t>
            </w:r>
          </w:p>
        </w:tc>
        <w:tc>
          <w:tcPr>
            <w:tcW w:type="dxa" w:w="4800"/>
            <w:tcMar>
              <w:top w:type="dxa" w:w="80"/>
              <w:left w:type="dxa" w:w="100"/>
              <w:bottom w:type="dxa" w:w="80"/>
              <w:right w:type="dxa" w:w="100"/>
            </w:tcMar>
          </w:tcPr>
          <w:p>
            <w:r>
              <w:rPr>
                <w:b w:val="false"/>
                <w:bCs w:val="false"/>
                <w:sz w:val="20"/>
                <w:szCs w:val="20"/>
              </w:rPr>
              <w:t xml:space="preserve">Llama a GET /api/user/subscribers en users, enviando la cabecera X-Internal-Api-Key.</w:t>
            </w:r>
          </w:p>
        </w:tc>
      </w:tr>
      <w:tr>
        <w:tc>
          <w:tcPr>
            <w:tcW w:type="dxa" w:w="2600"/>
            <w:tcMar>
              <w:top w:type="dxa" w:w="80"/>
              <w:left w:type="dxa" w:w="100"/>
              <w:bottom w:type="dxa" w:w="80"/>
              <w:right w:type="dxa" w:w="100"/>
            </w:tcMar>
          </w:tcPr>
          <w:p>
            <w:r>
              <w:rPr>
                <w:b w:val="false"/>
                <w:bCs w:val="false"/>
                <w:sz w:val="20"/>
                <w:szCs w:val="20"/>
              </w:rPr>
              <w:t xml:space="preserve">NotificationsClient.java</w:t>
            </w:r>
          </w:p>
        </w:tc>
        <w:tc>
          <w:tcPr>
            <w:tcW w:type="dxa" w:w="2000"/>
            <w:tcMar>
              <w:top w:type="dxa" w:w="80"/>
              <w:left w:type="dxa" w:w="100"/>
              <w:bottom w:type="dxa" w:w="80"/>
              <w:right w:type="dxa" w:w="100"/>
            </w:tcMar>
          </w:tcPr>
          <w:p>
            <w:r>
              <w:rPr>
                <w:b w:val="false"/>
                <w:bCs w:val="false"/>
                <w:sz w:val="20"/>
                <w:szCs w:val="20"/>
              </w:rPr>
              <w:t xml:space="preserve">Nuevo</w:t>
            </w:r>
          </w:p>
        </w:tc>
        <w:tc>
          <w:tcPr>
            <w:tcW w:type="dxa" w:w="4800"/>
            <w:tcMar>
              <w:top w:type="dxa" w:w="80"/>
              <w:left w:type="dxa" w:w="100"/>
              <w:bottom w:type="dxa" w:w="80"/>
              <w:right w:type="dxa" w:w="100"/>
            </w:tcMar>
          </w:tcPr>
          <w:p>
            <w:r>
              <w:rPr>
                <w:b w:val="false"/>
                <w:bCs w:val="false"/>
                <w:sz w:val="20"/>
                <w:szCs w:val="20"/>
              </w:rPr>
              <w:t xml:space="preserve">Llama a POST /api/notifications/send en notifications con las novedades y los destinatarios.</w:t>
            </w:r>
          </w:p>
        </w:tc>
      </w:tr>
      <w:tr>
        <w:tc>
          <w:tcPr>
            <w:tcW w:type="dxa" w:w="2600"/>
            <w:tcMar>
              <w:top w:type="dxa" w:w="80"/>
              <w:left w:type="dxa" w:w="100"/>
              <w:bottom w:type="dxa" w:w="80"/>
              <w:right w:type="dxa" w:w="100"/>
            </w:tcMar>
          </w:tcPr>
          <w:p>
            <w:r>
              <w:rPr>
                <w:b w:val="false"/>
                <w:bCs w:val="false"/>
                <w:sz w:val="20"/>
                <w:szCs w:val="20"/>
              </w:rPr>
              <w:t xml:space="preserve">ScrapingExecutionService.java</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Tras guardar novedades nuevas, pide los suscriptores a users y llama a notifications; un fallo en la notificacion no interrumpe la ejecucion del scraping.</w:t>
            </w:r>
          </w:p>
        </w:tc>
      </w:tr>
      <w:tr>
        <w:tc>
          <w:tcPr>
            <w:tcW w:type="dxa" w:w="2600"/>
            <w:tcMar>
              <w:top w:type="dxa" w:w="80"/>
              <w:left w:type="dxa" w:w="100"/>
              <w:bottom w:type="dxa" w:w="80"/>
              <w:right w:type="dxa" w:w="100"/>
            </w:tcMar>
          </w:tcPr>
          <w:p>
            <w:r>
              <w:rPr>
                <w:b w:val="false"/>
                <w:bCs w:val="false"/>
                <w:sz w:val="20"/>
                <w:szCs w:val="20"/>
              </w:rPr>
              <w:t xml:space="preserve">UsersClientTest.java / NotificationsClientTest.java</w:t>
            </w:r>
          </w:p>
        </w:tc>
        <w:tc>
          <w:tcPr>
            <w:tcW w:type="dxa" w:w="2000"/>
            <w:tcMar>
              <w:top w:type="dxa" w:w="80"/>
              <w:left w:type="dxa" w:w="100"/>
              <w:bottom w:type="dxa" w:w="80"/>
              <w:right w:type="dxa" w:w="100"/>
            </w:tcMar>
          </w:tcPr>
          <w:p>
            <w:r>
              <w:rPr>
                <w:b w:val="false"/>
                <w:bCs w:val="false"/>
                <w:sz w:val="20"/>
                <w:szCs w:val="20"/>
              </w:rPr>
              <w:t xml:space="preserve">Nuevo</w:t>
            </w:r>
          </w:p>
        </w:tc>
        <w:tc>
          <w:tcPr>
            <w:tcW w:type="dxa" w:w="4800"/>
            <w:tcMar>
              <w:top w:type="dxa" w:w="80"/>
              <w:left w:type="dxa" w:w="100"/>
              <w:bottom w:type="dxa" w:w="80"/>
              <w:right w:type="dxa" w:w="100"/>
            </w:tcMar>
          </w:tcPr>
          <w:p>
            <w:r>
              <w:rPr>
                <w:b w:val="false"/>
                <w:bCs w:val="false"/>
                <w:sz w:val="20"/>
                <w:szCs w:val="20"/>
              </w:rPr>
              <w:t xml:space="preserve">Cobertura de los dos clientes HTTP nuevos.</w:t>
            </w:r>
          </w:p>
        </w:tc>
      </w:tr>
      <w:tr>
        <w:tc>
          <w:tcPr>
            <w:tcW w:type="dxa" w:w="2600"/>
            <w:tcMar>
              <w:top w:type="dxa" w:w="80"/>
              <w:left w:type="dxa" w:w="100"/>
              <w:bottom w:type="dxa" w:w="80"/>
              <w:right w:type="dxa" w:w="100"/>
            </w:tcMar>
          </w:tcPr>
          <w:p>
            <w:r>
              <w:rPr>
                <w:b w:val="false"/>
                <w:bCs w:val="false"/>
                <w:sz w:val="20"/>
                <w:szCs w:val="20"/>
              </w:rPr>
              <w:t xml:space="preserve">ScrapingExecutionServiceTest.java</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Se anaden casos: notificacion disparada con novedades, sin novedades no se llama a nada, sin suscriptores no se notifica, y fallo de notificacion no rompe la ejecucion.</w:t>
            </w:r>
          </w:p>
        </w:tc>
      </w:tr>
      <w:tr>
        <w:tc>
          <w:tcPr>
            <w:tcW w:type="dxa" w:w="2600"/>
            <w:tcMar>
              <w:top w:type="dxa" w:w="80"/>
              <w:left w:type="dxa" w:w="100"/>
              <w:bottom w:type="dxa" w:w="80"/>
              <w:right w:type="dxa" w:w="100"/>
            </w:tcMar>
          </w:tcPr>
          <w:p>
            <w:r>
              <w:rPr>
                <w:b w:val="false"/>
                <w:bCs w:val="false"/>
                <w:sz w:val="20"/>
                <w:szCs w:val="20"/>
              </w:rPr>
              <w:t xml:space="preserve">UserControllerTest.java / UserControllerWebMvcTest.java</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Se anaden los tests del endpoint /api/user/subscribers: clave correcta, clave incorrecta y clave ausente.</w:t>
            </w:r>
          </w:p>
        </w:tc>
      </w:tr>
    </w:tbl>
    <w:p>
      <w:pPr>
        <w:pStyle w:val="Heading1"/>
        <w:spacing w:after="120" w:before="260"/>
      </w:pPr>
      <w:r>
        <w:rPr>
          <w:b/>
          <w:bCs/>
          <w:color w:val="2F5496"/>
        </w:rPr>
        <w:t xml:space="preserve">Incidencias detectadas y resueltas</w:t>
      </w:r>
    </w:p>
    <w:p>
      <w:pPr>
        <w:pStyle w:val="ListParagraph"/>
        <w:numPr>
          <w:ilvl w:val="0"/>
          <w:numId w:val="1"/>
        </w:numPr>
        <w:spacing w:after="80"/>
      </w:pPr>
      <w:r>
        <w:rPr>
          <w:b/>
          <w:bCs/>
        </w:rPr>
        <w:t xml:space="preserve">Falta el candado de autorizacion en Swagger de users. </w:t>
      </w:r>
      <w:r>
        <w:t xml:space="preserve">El endpoint del subscription mostraba el candado individual pero no aparecia el boton Authorize global, porque faltaba la clase OpenApiConfig.java que registra el esquema bearerAuth. Se creo siguiendo el mismo patron ya usado en watchers y scraper-engine.</w:t>
      </w:r>
    </w:p>
    <w:p>
      <w:pPr>
        <w:pStyle w:val="ListParagraph"/>
        <w:numPr>
          <w:ilvl w:val="0"/>
          <w:numId w:val="1"/>
        </w:numPr>
        <w:spacing w:after="80"/>
      </w:pPr>
      <w:r>
        <w:rPr>
          <w:b/>
          <w:bCs/>
        </w:rPr>
        <w:t xml:space="preserve">WatcherController desactualizado. </w:t>
      </w:r>
      <w:r>
        <w:t xml:space="preserve">Al revisar el arbol de directorios del proyecto se detecto que WatcherController.java conservaba la version del Bloque 6, sin el endpoint de scraping manual del Bloque 12. Se sustituyo por la version completa correspondiente.</w:t>
      </w:r>
    </w:p>
    <w:p>
      <w:pPr>
        <w:pStyle w:val="ListParagraph"/>
        <w:numPr>
          <w:ilvl w:val="0"/>
          <w:numId w:val="1"/>
        </w:numPr>
        <w:spacing w:after="80"/>
      </w:pPr>
      <w:r>
        <w:rPr>
          <w:b/>
          <w:bCs/>
        </w:rPr>
        <w:t xml:space="preserve">Selectores CSS sin el punto de clase. </w:t>
      </w:r>
      <w:r>
        <w:t xml:space="preserve">Al crear un watcher de prueba contra un archivo HTML local, los selectores se escribieron sin el punto (oferta en lugar de .oferta), lo que Selenium interpreta como una etiqueta HTML inexistente. Se corrigio anadiendo el punto en listSelector, titleSelector y organizationSelector.</w:t>
      </w:r>
    </w:p>
    <w:p>
      <w:pPr>
        <w:pStyle w:val="ListParagraph"/>
        <w:numPr>
          <w:ilvl w:val="0"/>
          <w:numId w:val="1"/>
        </w:numPr>
        <w:spacing w:after="80"/>
      </w:pPr>
      <w:r>
        <w:rPr>
          <w:b/>
          <w:bCs/>
        </w:rPr>
        <w:t xml:space="preserve">Limitacion real de los datos del BOE detectada durante las pruebas. </w:t>
      </w:r>
      <w:r>
        <w:t xml:space="preserve">Al probar contra el BOE del dia real, se observo que la mayoria de convocatorias de ayuntamientos pequenos no describen el perfil de la plaza en el titulo del sumario (por ejemplo, 'referente a la convocatoria para proveer una plaza'), por lo que el filtrado por palabras clave sobre el titulo no puede clasificarlas. No es un fallo del sistema, sino una limitacion de la fuente de datos original, documentada para futuras ampliaciones.</w:t>
      </w:r>
    </w:p>
    <w:p>
      <w:pPr>
        <w:pStyle w:val="Heading1"/>
        <w:spacing w:after="120" w:before="260"/>
      </w:pPr>
      <w:r>
        <w:rPr>
          <w:b/>
          <w:bCs/>
          <w:color w:val="2F5496"/>
        </w:rPr>
        <w:t xml:space="preserve">Verificacion realizada</w:t>
      </w:r>
    </w:p>
    <w:p>
      <w:pPr>
        <w:spacing w:after="140"/>
      </w:pPr>
      <w:r>
        <w:t xml:space="preserve">Se ha probado el flujo completo desde Swagger: verificacion del endpoint interno con y sin la clave correcta, activacion de la suscripcion de una cuenta de prueba, y disparo de un scraping manual sobre un watcher que apunta a una pagina HTML local con contenido garantizado, confirmando la llegada real del correo electronico con las novedades detectadas. Se ha probado tambien contra el BOE real del dia, confirmando que la llamada funciona de extremo a extremo aunque el contenido de ese dia no contuviera convocatorias de informatica. La bateria completa de tests, incluyendo los nuevos casos de UsersClient, NotificationsClient y los del endpoint de suscriptores, se ha ejecutado correctamente.</w:t>
      </w:r>
    </w:p>
    <w:p>
      <w:pPr>
        <w:pStyle w:val="Heading1"/>
        <w:spacing w:after="120" w:before="260"/>
      </w:pPr>
      <w:r>
        <w:rPr>
          <w:b/>
          <w:bCs/>
          <w:color w:val="2F5496"/>
        </w:rPr>
        <w:t xml:space="preserve">Siguiente bloque</w:t>
      </w:r>
    </w:p>
    <w:p>
      <w:pPr>
        <w:spacing w:after="140"/>
      </w:pPr>
      <w:r>
        <w:t xml:space="preserve">Bloque 15: panel de administracion en Angular, con el listado y la gestion de watchers, visible solo para el rol ROLE_ADMIN.</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2026-08-26T18:39:58.059Z</dcterms:created>
  <dcterms:modified xsi:type="dcterms:W3CDTF">2026-08-26T18:39:58.074Z</dcterms:modified>
</cp:coreProperties>
</file>

<file path=docProps/custom.xml><?xml version="1.0" encoding="utf-8"?>
<Properties xmlns="http://schemas.openxmlformats.org/officeDocument/2006/custom-properties" xmlns:vt="http://schemas.openxmlformats.org/officeDocument/2006/docPropsVTypes"/>
</file>