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44"/>
          <w:szCs w:val="44"/>
        </w:rPr>
        <w:t xml:space="preserve">OpoWatch</w:t>
      </w:r>
    </w:p>
    <w:p>
      <w:pPr>
        <w:spacing w:after="320"/>
        <w:jc w:val="center"/>
      </w:pPr>
      <w:r>
        <w:rPr>
          <w:i/>
          <w:iCs/>
          <w:sz w:val="24"/>
          <w:szCs w:val="24"/>
        </w:rPr>
        <w:t xml:space="preserve">Bloque 2: AuthController, UserController y el flujo de registro</w:t>
      </w:r>
    </w:p>
    <w:p>
      <w:pPr>
        <w:pStyle w:val="Heading1"/>
        <w:spacing w:after="120" w:before="260"/>
      </w:pPr>
      <w:r>
        <w:rPr>
          <w:b/>
          <w:bCs/>
          <w:color w:val="2F5496"/>
        </w:rPr>
        <w:t xml:space="preserve">Objetivo del bloque</w:t>
      </w:r>
    </w:p>
    <w:p>
      <w:pPr>
        <w:spacing w:after="140"/>
      </w:pPr>
      <w:r>
        <w:t xml:space="preserve">Alinear el comportamiento de los controladores del microservicio users con el concepto real de suscriptor definido para OpoWatch, retirar el endpoint publico heredado del ecommerce original que ya no tiene sentido, e incorporar la posibilidad de que un suscriptor active o desactive sus notificaciones por email.</w:t>
      </w:r>
    </w:p>
    <w:p>
      <w:pPr>
        <w:pStyle w:val="Heading1"/>
        <w:spacing w:after="120" w:before="260"/>
      </w:pPr>
      <w:r>
        <w:rPr>
          <w:b/>
          <w:bCs/>
          <w:color w:val="2F5496"/>
        </w:rPr>
        <w:t xml:space="preserve">Decisiones aplicadas</w:t>
      </w:r>
    </w:p>
    <w:p>
      <w:pPr>
        <w:pStyle w:val="ListParagraph"/>
        <w:numPr>
          <w:ilvl w:val="0"/>
          <w:numId w:val="1"/>
        </w:numPr>
        <w:spacing w:after="80"/>
      </w:pPr>
      <w:r>
        <w:rPr>
          <w:b/>
          <w:bCs/>
        </w:rPr>
        <w:t xml:space="preserve">Mensaje de registro mas claro. </w:t>
      </w:r>
      <w:r>
        <w:t xml:space="preserve">El endpoint de signup deja de devolver un mensaje generico de alta de usuario y pasa a confirmar explicitamente que se ha creado una suscripcion a las notificaciones por email.</w:t>
      </w:r>
    </w:p>
    <w:p>
      <w:pPr>
        <w:pStyle w:val="ListParagraph"/>
        <w:numPr>
          <w:ilvl w:val="0"/>
          <w:numId w:val="1"/>
        </w:numPr>
        <w:spacing w:after="80"/>
      </w:pPr>
      <w:r>
        <w:rPr>
          <w:b/>
          <w:bCs/>
        </w:rPr>
        <w:t xml:space="preserve">Se retira el perfil publico. </w:t>
      </w:r>
      <w:r>
        <w:t xml:space="preserve">El endpoint /api/user/{id}/public, pensado en el proyecto original para mostrar el perfil publico de un vendedor, se elimina junto con su entrada en las rutas publicas de seguridad, ya que OpoWatch no tiene perfiles de usuario visibles entre si.</w:t>
      </w:r>
    </w:p>
    <w:p>
      <w:pPr>
        <w:pStyle w:val="ListParagraph"/>
        <w:numPr>
          <w:ilvl w:val="0"/>
          <w:numId w:val="1"/>
        </w:numPr>
        <w:spacing w:after="80"/>
      </w:pPr>
      <w:r>
        <w:rPr>
          <w:b/>
          <w:bCs/>
        </w:rPr>
        <w:t xml:space="preserve">Gestion de la suscripcion. </w:t>
      </w:r>
      <w:r>
        <w:t xml:space="preserve">Se incorpora el endpoint PATCH /api/user/me/subscription, protegido con autenticacion, que permite a cualquier suscriptor activar o desactivar la recepcion de notificaciones. El estado se refleja tambien en la respuesta de /api/user/me a traves del nuevo campo subscribedToNotifications.</w:t>
      </w:r>
    </w:p>
    <w:p>
      <w:pPr>
        <w:pStyle w:val="ListParagraph"/>
        <w:numPr>
          <w:ilvl w:val="0"/>
          <w:numId w:val="1"/>
        </w:numPr>
        <w:spacing w:after="80"/>
      </w:pPr>
      <w:r>
        <w:rPr>
          <w:b/>
          <w:bCs/>
        </w:rPr>
        <w:t xml:space="preserve">Cobertura de tests actualizada. </w:t>
      </w:r>
      <w:r>
        <w:t xml:space="preserve">Se corrigen los dos tests que comprobaban el mensaje antiguo del signup, y se anaden tests nuevos, unitarios y de integracion con MockMvc, para el endpoint de suscripcion, manteniendo el mismo nivel de cobertura que el resto del controlador.</w:t>
      </w:r>
    </w:p>
    <w:p>
      <w:pPr>
        <w:pStyle w:val="Heading1"/>
        <w:spacing w:after="120" w:before="260"/>
      </w:pPr>
      <w:r>
        <w:rPr>
          <w:b/>
          <w:bCs/>
          <w:color w:val="2F5496"/>
        </w:rPr>
        <w:t xml:space="preserve">Archivos afectados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shd w:fill="EDEDED" w:val="clear"/>
            <w:tcMar>
              <w:top w:type="dxa" w:w="80"/>
              <w:left w:type="dxa" w:w="100"/>
              <w:bottom w:type="dxa" w:w="80"/>
              <w:right w:type="dxa" w:w="100"/>
            </w:tcMar>
          </w:tcPr>
          <w:p>
            <w:r>
              <w:rPr>
                <w:b/>
                <w:bCs/>
                <w:sz w:val="20"/>
                <w:szCs w:val="20"/>
              </w:rPr>
              <w:t xml:space="preserve">Archivo</w:t>
            </w:r>
          </w:p>
        </w:tc>
        <w:tc>
          <w:tcPr>
            <w:tcW w:type="dxa" w:w="2000"/>
            <w:shd w:fill="EDEDED" w:val="clear"/>
            <w:tcMar>
              <w:top w:type="dxa" w:w="80"/>
              <w:left w:type="dxa" w:w="100"/>
              <w:bottom w:type="dxa" w:w="80"/>
              <w:right w:type="dxa" w:w="100"/>
            </w:tcMar>
          </w:tcPr>
          <w:p>
            <w:r>
              <w:rPr>
                <w:b/>
                <w:bCs/>
                <w:sz w:val="20"/>
                <w:szCs w:val="20"/>
              </w:rPr>
              <w:t xml:space="preserve">Tipo de cambio</w:t>
            </w:r>
          </w:p>
        </w:tc>
        <w:tc>
          <w:tcPr>
            <w:tcW w:type="dxa" w:w="4800"/>
            <w:shd w:fill="EDEDED" w:val="clear"/>
            <w:tcMar>
              <w:top w:type="dxa" w:w="80"/>
              <w:left w:type="dxa" w:w="100"/>
              <w:bottom w:type="dxa" w:w="80"/>
              <w:right w:type="dxa" w:w="100"/>
            </w:tcMar>
          </w:tcPr>
          <w:p>
            <w:r>
              <w:rPr>
                <w:b/>
                <w:bCs/>
                <w:sz w:val="20"/>
                <w:szCs w:val="20"/>
              </w:rPr>
              <w:t xml:space="preserve">Motivo</w:t>
            </w:r>
          </w:p>
        </w:tc>
      </w:tr>
      <w:tr>
        <w:tc>
          <w:tcPr>
            <w:tcW w:type="dxa" w:w="2600"/>
            <w:tcMar>
              <w:top w:type="dxa" w:w="80"/>
              <w:left w:type="dxa" w:w="100"/>
              <w:bottom w:type="dxa" w:w="80"/>
              <w:right w:type="dxa" w:w="100"/>
            </w:tcMar>
          </w:tcPr>
          <w:p>
            <w:r>
              <w:rPr>
                <w:b w:val="false"/>
                <w:bCs w:val="false"/>
                <w:sz w:val="20"/>
                <w:szCs w:val="20"/>
              </w:rPr>
              <w:t xml:space="preserve">AuthController.java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El mensaje de confirmacion del signup pasa a hablar de suscripcion, no de alta de usuario generico.</w:t>
            </w:r>
          </w:p>
        </w:tc>
      </w:tr>
      <w:tr>
        <w:tc>
          <w:tcPr>
            <w:tcW w:type="dxa" w:w="2600"/>
            <w:tcMar>
              <w:top w:type="dxa" w:w="80"/>
              <w:left w:type="dxa" w:w="100"/>
              <w:bottom w:type="dxa" w:w="80"/>
              <w:right w:type="dxa" w:w="100"/>
            </w:tcMar>
          </w:tcPr>
          <w:p>
            <w:r>
              <w:rPr>
                <w:b w:val="false"/>
                <w:bCs w:val="false"/>
                <w:sz w:val="20"/>
                <w:szCs w:val="20"/>
              </w:rPr>
              <w:t xml:space="preserve">UserController.java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elimina el endpoint /{id}/public, heredado del ecommerce. Se anade PATCH /me/subscription para activar o desactivar notificaciones.</w:t>
            </w:r>
          </w:p>
        </w:tc>
      </w:tr>
      <w:tr>
        <w:tc>
          <w:tcPr>
            <w:tcW w:type="dxa" w:w="2600"/>
            <w:tcMar>
              <w:top w:type="dxa" w:w="80"/>
              <w:left w:type="dxa" w:w="100"/>
              <w:bottom w:type="dxa" w:w="80"/>
              <w:right w:type="dxa" w:w="100"/>
            </w:tcMar>
          </w:tcPr>
          <w:p>
            <w:r>
              <w:rPr>
                <w:b w:val="false"/>
                <w:bCs w:val="false"/>
                <w:sz w:val="20"/>
                <w:szCs w:val="20"/>
              </w:rPr>
              <w:t xml:space="preserve">UserInfoResponse.java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Incluye el nuevo campo subscribedToNotifications en la respuesta de perfil.</w:t>
            </w:r>
          </w:p>
        </w:tc>
      </w:tr>
      <w:tr>
        <w:tc>
          <w:tcPr>
            <w:tcW w:type="dxa" w:w="2600"/>
            <w:tcMar>
              <w:top w:type="dxa" w:w="80"/>
              <w:left w:type="dxa" w:w="100"/>
              <w:bottom w:type="dxa" w:w="80"/>
              <w:right w:type="dxa" w:w="100"/>
            </w:tcMar>
          </w:tcPr>
          <w:p>
            <w:r>
              <w:rPr>
                <w:b w:val="false"/>
                <w:bCs w:val="false"/>
                <w:sz w:val="20"/>
                <w:szCs w:val="20"/>
              </w:rPr>
              <w:t xml:space="preserve">UpdateSubscriptionRequest.java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Payload de peticion para el endpoint de activar o desactivar notificaciones.</w:t>
            </w:r>
          </w:p>
        </w:tc>
      </w:tr>
      <w:tr>
        <w:tc>
          <w:tcPr>
            <w:tcW w:type="dxa" w:w="2600"/>
            <w:tcMar>
              <w:top w:type="dxa" w:w="80"/>
              <w:left w:type="dxa" w:w="100"/>
              <w:bottom w:type="dxa" w:w="80"/>
              <w:right w:type="dxa" w:w="100"/>
            </w:tcMar>
          </w:tcPr>
          <w:p>
            <w:r>
              <w:rPr>
                <w:b w:val="false"/>
                <w:bCs w:val="false"/>
                <w:sz w:val="20"/>
                <w:szCs w:val="20"/>
              </w:rPr>
              <w:t xml:space="preserve">UserService.java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Incorpora el metodo updateSubscription para persistir el cambio de estado de suscripcion.</w:t>
            </w:r>
          </w:p>
        </w:tc>
      </w:tr>
      <w:tr>
        <w:tc>
          <w:tcPr>
            <w:tcW w:type="dxa" w:w="2600"/>
            <w:tcMar>
              <w:top w:type="dxa" w:w="80"/>
              <w:left w:type="dxa" w:w="100"/>
              <w:bottom w:type="dxa" w:w="80"/>
              <w:right w:type="dxa" w:w="100"/>
            </w:tcMar>
          </w:tcPr>
          <w:p>
            <w:r>
              <w:rPr>
                <w:b w:val="false"/>
                <w:bCs w:val="false"/>
                <w:sz w:val="20"/>
                <w:szCs w:val="20"/>
              </w:rPr>
              <w:t xml:space="preserve">SecurityConfig.java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retira /api/user/*/public de las rutas publicas y se anade PATCH a los metodos CORS permitidos.</w:t>
            </w:r>
          </w:p>
        </w:tc>
      </w:tr>
      <w:tr>
        <w:tc>
          <w:tcPr>
            <w:tcW w:type="dxa" w:w="2600"/>
            <w:tcMar>
              <w:top w:type="dxa" w:w="80"/>
              <w:left w:type="dxa" w:w="100"/>
              <w:bottom w:type="dxa" w:w="80"/>
              <w:right w:type="dxa" w:w="100"/>
            </w:tcMar>
          </w:tcPr>
          <w:p>
            <w:r>
              <w:rPr>
                <w:b w:val="false"/>
                <w:bCs w:val="false"/>
                <w:sz w:val="20"/>
                <w:szCs w:val="20"/>
              </w:rPr>
              <w:t xml:space="preserve">AuthControllerTest.java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actualiza el mensaje esperado en el test de registro.</w:t>
            </w:r>
          </w:p>
        </w:tc>
      </w:tr>
      <w:tr>
        <w:tc>
          <w:tcPr>
            <w:tcW w:type="dxa" w:w="2600"/>
            <w:tcMar>
              <w:top w:type="dxa" w:w="80"/>
              <w:left w:type="dxa" w:w="100"/>
              <w:bottom w:type="dxa" w:w="80"/>
              <w:right w:type="dxa" w:w="100"/>
            </w:tcMar>
          </w:tcPr>
          <w:p>
            <w:r>
              <w:rPr>
                <w:b w:val="false"/>
                <w:bCs w:val="false"/>
                <w:sz w:val="20"/>
                <w:szCs w:val="20"/>
              </w:rPr>
              <w:t xml:space="preserve">AuthControllerWebMvcTest.java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actualiza el mensaje esperado en el test de integracion del signup.</w:t>
            </w:r>
          </w:p>
        </w:tc>
      </w:tr>
      <w:tr>
        <w:tc>
          <w:tcPr>
            <w:tcW w:type="dxa" w:w="2600"/>
            <w:tcMar>
              <w:top w:type="dxa" w:w="80"/>
              <w:left w:type="dxa" w:w="100"/>
              <w:bottom w:type="dxa" w:w="80"/>
              <w:right w:type="dxa" w:w="100"/>
            </w:tcMar>
          </w:tcPr>
          <w:p>
            <w:r>
              <w:rPr>
                <w:b w:val="false"/>
                <w:bCs w:val="false"/>
                <w:sz w:val="20"/>
                <w:szCs w:val="20"/>
              </w:rPr>
              <w:t xml:space="preserve">UserControllerTest.java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anaden dos tests unitarios para el nuevo endpoint de suscripcion.</w:t>
            </w:r>
          </w:p>
        </w:tc>
      </w:tr>
      <w:tr>
        <w:tc>
          <w:tcPr>
            <w:tcW w:type="dxa" w:w="2600"/>
            <w:tcMar>
              <w:top w:type="dxa" w:w="80"/>
              <w:left w:type="dxa" w:w="100"/>
              <w:bottom w:type="dxa" w:w="80"/>
              <w:right w:type="dxa" w:w="100"/>
            </w:tcMar>
          </w:tcPr>
          <w:p>
            <w:r>
              <w:rPr>
                <w:b w:val="false"/>
                <w:bCs w:val="false"/>
                <w:sz w:val="20"/>
                <w:szCs w:val="20"/>
              </w:rPr>
              <w:t xml:space="preserve">UserControllerWebMvcTest.java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un test de integracion ligera con MockMvc para PATCH /me/subscription.</w:t>
            </w:r>
          </w:p>
        </w:tc>
      </w:tr>
      <w:tr>
        <w:tc>
          <w:tcPr>
            <w:tcW w:type="dxa" w:w="2600"/>
            <w:tcMar>
              <w:top w:type="dxa" w:w="80"/>
              <w:left w:type="dxa" w:w="100"/>
              <w:bottom w:type="dxa" w:w="80"/>
              <w:right w:type="dxa" w:w="100"/>
            </w:tcMar>
          </w:tcPr>
          <w:p>
            <w:r>
              <w:rPr>
                <w:b w:val="false"/>
                <w:bCs w:val="false"/>
                <w:sz w:val="20"/>
                <w:szCs w:val="20"/>
              </w:rPr>
              <w:t xml:space="preserve">AuthServiceTest.java / JwtUtilsTest.java / ArchitectureTest.java</w:t>
            </w:r>
          </w:p>
        </w:tc>
        <w:tc>
          <w:tcPr>
            <w:tcW w:type="dxa" w:w="2000"/>
            <w:tcMar>
              <w:top w:type="dxa" w:w="80"/>
              <w:left w:type="dxa" w:w="100"/>
              <w:bottom w:type="dxa" w:w="80"/>
              <w:right w:type="dxa" w:w="100"/>
            </w:tcMar>
          </w:tcPr>
          <w:p>
            <w:r>
              <w:rPr>
                <w:b w:val="false"/>
                <w:bCs w:val="false"/>
                <w:sz w:val="20"/>
                <w:szCs w:val="20"/>
              </w:rPr>
              <w:t xml:space="preserve">Sin cambios</w:t>
            </w:r>
          </w:p>
        </w:tc>
        <w:tc>
          <w:tcPr>
            <w:tcW w:type="dxa" w:w="4800"/>
            <w:tcMar>
              <w:top w:type="dxa" w:w="80"/>
              <w:left w:type="dxa" w:w="100"/>
              <w:bottom w:type="dxa" w:w="80"/>
              <w:right w:type="dxa" w:w="100"/>
            </w:tcMar>
          </w:tcPr>
          <w:p>
            <w:r>
              <w:rPr>
                <w:b w:val="false"/>
                <w:bCs w:val="false"/>
                <w:sz w:val="20"/>
                <w:szCs w:val="20"/>
              </w:rPr>
              <w:t xml:space="preserve">No dependen de ninguna de las clases modificadas en este bloque.</w:t>
            </w:r>
          </w:p>
        </w:tc>
      </w:tr>
    </w:tbl>
    <w:p>
      <w:pPr>
        <w:pStyle w:val="Heading1"/>
        <w:spacing w:after="120" w:before="260"/>
      </w:pPr>
      <w:r>
        <w:rPr>
          <w:b/>
          <w:bCs/>
          <w:color w:val="2F5496"/>
        </w:rPr>
        <w:t xml:space="preserve">Verificacion</w:t>
      </w:r>
    </w:p>
    <w:p>
      <w:pPr>
        <w:spacing w:after="140"/>
      </w:pPr>
      <w:r>
        <w:t xml:space="preserve">El proyecto compila sin errores y la bateria completa de tests del microservicio users se ejecuta correctamente, incluyendo los tests de arquitectura que comprueban que los controladores siguen la convencion de nombres y de paquetes, y que ninguno depende directamente de un repositorio.</w:t>
      </w:r>
    </w:p>
    <w:p>
      <w:pPr>
        <w:pStyle w:val="Heading1"/>
        <w:spacing w:after="120" w:before="260"/>
      </w:pPr>
      <w:r>
        <w:rPr>
          <w:b/>
          <w:bCs/>
          <w:color w:val="2F5496"/>
        </w:rPr>
        <w:t xml:space="preserve">Siguiente bloque</w:t>
      </w:r>
    </w:p>
    <w:p>
      <w:pPr>
        <w:spacing w:after="140"/>
      </w:pPr>
      <w:r>
        <w:t xml:space="preserve">Bloque 3: adaptar el login base del frontend en Angular, quitando las referencias al ecommerce original y ajustando rutas y roles.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2026-08-21T17:37:19.936Z</dcterms:created>
  <dcterms:modified xsi:type="dcterms:W3CDTF">2026-08-21T17:37:19.949Z</dcterms:modified>
</cp:coreProperties>
</file>

<file path=docProps/custom.xml><?xml version="1.0" encoding="utf-8"?>
<Properties xmlns="http://schemas.openxmlformats.org/officeDocument/2006/custom-properties" xmlns:vt="http://schemas.openxmlformats.org/officeDocument/2006/docPropsVTypes"/>
</file>