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4"/>
          <w:szCs w:val="44"/>
        </w:rPr>
        <w:t xml:space="preserve">OpoWatch</w:t>
      </w:r>
    </w:p>
    <w:p>
      <w:pPr>
        <w:spacing w:after="320"/>
        <w:jc w:val="center"/>
      </w:pPr>
      <w:r>
        <w:rPr>
          <w:i/>
          <w:iCs/>
          <w:sz w:val="24"/>
          <w:szCs w:val="24"/>
        </w:rPr>
        <w:t xml:space="preserve">Bloque 5: Entidades Watcher y MatchedItem (microservicio watchers)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Objetivo del bloque</w:t>
      </w:r>
    </w:p>
    <w:p>
      <w:pPr>
        <w:spacing w:after="140"/>
      </w:pPr>
      <w:r>
        <w:t xml:space="preserve">Construir desde cero el esqueleto del microservicio watchers, siguiendo el mismo patron de arquitectura que users e InvestEU, y modelar las dos entidades centrales del sistema: Watcher, que representa cada fuente vigilada, y MatchedItem, que representa cada oferta de empleo publico TIC detectada.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Decisiones aplicadas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Microservicio propio y aislado. </w:t>
      </w:r>
      <w:r>
        <w:t xml:space="preserve">watchers arranca en el puerto 8082 con su propia base de datos, watchersOpoWatch, y valida los tokens JWT emitidos por users usando el mismo secreto compartido, sin necesidad de llamar a otro servicio para autenticar.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Modelo de Watcher flexible por tipo de fuente. </w:t>
      </w:r>
      <w:r>
        <w:t xml:space="preserve">Los campos de URL y selectores CSS solo se rellenan cuando el tipo de fuente es SELENIUM. Para BOE_API se dejan en null, ya que el scraper-engine sabra llamar directamente a la API oficial.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Deduplicacion a nivel de base de datos. </w:t>
      </w:r>
      <w:r>
        <w:t xml:space="preserve">MatchedItem incluye una restriccion de unicidad por la combinacion de watcher y URL de origen, para que la misma oferta nunca pueda guardarse dos veces para el mismo watcher, incluso si el scraping se repite.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Repositorios minimos, ampliables por bloque. </w:t>
      </w:r>
      <w:r>
        <w:t xml:space="preserve">WatcherRepository y MatchedItemRepository solo extienden JpaRepository por ahora. Los metodos de busqueda especificos se anadiran en los bloques donde realmente se necesiten, en vez de anticiparlos.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Archivos creados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800"/>
      </w:tblGrid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pom.xml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Esqueleto Maven del microservicio watchers: JPA, seguridad como recurso OAuth2, PostgreSQL, OpenAPI, ArchUnit. Sin jjwt, ya que este servicio no emite tokens.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Puerto 8082, base de datos watchersOpoWatch, mismo jwt.secret que users para validar tokens sin llamadas entre servicios.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WatchersApplication.java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Clase de arranque Spring Boot del microservicio.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SourceType.java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 con los dos tipos de fuente: BOE_API y SELENIUM.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Entidad de configuracion de cada fuente vigilada: nombre, tipo, URL y selectores CSS (solo para SELENIUM), intervalo de scraping, estado activo.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MatchedItem.java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Entidad de cada oferta detectada: titulo, organismo, fecha de publicacion, enlace y fecha de deteccion, con restriccion de unicidad por watcher y URL.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WatcherRepository.java / MatchedItemRepository.java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Repositorios JPA basicos, ampliables en bloques posteriores segun las necesidades del CRUD, el feed y el scheduler.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WatcherRepositoryTest.java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Comprueba los valores por defecto al guardar un watcher y el borrado en cascada de sus MatchedItem asociados via JPA.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MatchedItemRepositoryTest.java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Comprueba que la base de datos rechaza duplicados por watcher y URL, y que permite la misma URL en watchers distintos.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Reglas de convencion: las entidades viven en ..model.. y los repositorios terminan en Repository y viven en ..repository..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Incidencia detectada y resuelta</w:t>
      </w:r>
    </w:p>
    <w:p>
      <w:pPr>
        <w:spacing w:after="140"/>
      </w:pPr>
      <w:r>
        <w:t xml:space="preserve">Al probar el borrado en cascada, Hibernate lanzo un TransientPropertyValueException. La causa fue no mantener sincronizados ambos lados de la relacion bidireccional: asignar el watcher a un MatchedItem no anadia automaticamente ese item a la coleccion watcher.getMatchedItems(). La solucion aplicada fue anadir explicitamente el item a esa coleccion antes de guardarlo, dejando ambos lados de la relacion coherentes en memoria.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Verificacion manual realizada</w:t>
      </w:r>
    </w:p>
    <w:p>
      <w:pPr>
        <w:spacing w:after="140"/>
      </w:pPr>
      <w:r>
        <w:t xml:space="preserve">Se ha comprobado con SQL directo sobre watchersOpoWatch que la estructura de las tablas es correcta, que la restriccion de unicidad por watcher y URL funciona, y que un borrado directo por SQL de un watcher con ofertas asociadas falla por integridad referencial, como es esperado, ya que el cascade solo lo aplica Hibernate a traves de JPA. El borrado en cascada real se ha verificado ejecutando WatcherRepositoryTest, con resultado correcto en todos los tests.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Siguiente bloque</w:t>
      </w:r>
    </w:p>
    <w:p>
      <w:pPr>
        <w:spacing w:after="140"/>
      </w:pPr>
      <w:r>
        <w:t xml:space="preserve">Bloque 6: CRUD de watchers protegido por ROLE_ADMIN, con los endpoints de crear, editar, eliminar y listar.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2026-08-22T15:20:27.423Z</dcterms:created>
  <dcterms:modified xsi:type="dcterms:W3CDTF">2026-08-22T15:20:27.436Z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