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5496"/>
          <w:sz w:val="44"/>
          <w:szCs w:val="44"/>
        </w:rPr>
        <w:t xml:space="preserve">OpoWatch</w:t>
      </w:r>
    </w:p>
    <w:p>
      <w:pPr>
        <w:spacing w:after="320"/>
        <w:jc w:val="center"/>
      </w:pPr>
      <w:r>
        <w:rPr>
          <w:i/>
          <w:iCs/>
          <w:sz w:val="24"/>
          <w:szCs w:val="24"/>
        </w:rPr>
        <w:t xml:space="preserve">Bloque 8: Cliente de la API del BOE (microservicio scraper-engine)</w:t>
      </w:r>
    </w:p>
    <w:p>
      <w:pPr>
        <w:pStyle w:val="Heading1"/>
        <w:spacing w:after="120" w:before="260"/>
      </w:pPr>
      <w:r>
        <w:rPr>
          <w:b/>
          <w:bCs/>
          <w:color w:val="2F5496"/>
        </w:rPr>
        <w:t xml:space="preserve">Objetivo del bloque</w:t>
      </w:r>
    </w:p>
    <w:p>
      <w:pPr>
        <w:spacing w:after="140"/>
      </w:pPr>
      <w:r>
        <w:t xml:space="preserve">Construir el primer bloque del tercer microservicio del proyecto, scraper-engine: un servicio sin base de datos que llama a la API oficial del sumario del BOE para una fecha dada, y devuelve unicamente las convocatorias publicadas en la seccion de Oposiciones y concursos, ya aplanadas en una lista simple.</w:t>
      </w:r>
    </w:p>
    <w:p>
      <w:pPr>
        <w:pStyle w:val="Heading1"/>
        <w:spacing w:after="120" w:before="260"/>
      </w:pPr>
      <w:r>
        <w:rPr>
          <w:b/>
          <w:bCs/>
          <w:color w:val="2F5496"/>
        </w:rPr>
        <w:t xml:space="preserve">Decisiones aplicadas</w:t>
      </w:r>
    </w:p>
    <w:p>
      <w:pPr>
        <w:pStyle w:val="ListParagraph"/>
        <w:numPr>
          <w:ilvl w:val="0"/>
          <w:numId w:val="1"/>
        </w:numPr>
        <w:spacing w:after="80"/>
      </w:pPr>
      <w:r>
        <w:rPr>
          <w:b/>
          <w:bCs/>
        </w:rPr>
        <w:t xml:space="preserve">Parseo tolerante a la estructura real del BOE. </w:t>
      </w:r>
      <w:r>
        <w:t xml:space="preserve">El sumario del BOE representa epigrafe e item unas veces como un objeto suelto y otras como una lista, segun cuantos elementos haya. El ObjectMapper del cliente se configura con ACCEPT_SINGLE_VALUE_AS_ARRAY para tratar ambos casos de forma uniforme, sin duplicar logica de parseo.</w:t>
      </w:r>
    </w:p>
    <w:p>
      <w:pPr>
        <w:pStyle w:val="ListParagraph"/>
        <w:numPr>
          <w:ilvl w:val="0"/>
          <w:numId w:val="1"/>
        </w:numPr>
        <w:spacing w:after="80"/>
      </w:pPr>
      <w:r>
        <w:rPr>
          <w:b/>
          <w:bCs/>
        </w:rPr>
        <w:t xml:space="preserve">Manejo silencioso de dias sin boletin. </w:t>
      </w:r>
      <w:r>
        <w:t xml:space="preserve">Cuando el BOE no publica boletin (tipicamente los domingos), la API devuelve 404. El cliente lo interpreta como una lista vacia en lugar de propagar un error, ya que es un caso esperado y no una condicion excepcional.</w:t>
      </w:r>
    </w:p>
    <w:p>
      <w:pPr>
        <w:pStyle w:val="ListParagraph"/>
        <w:numPr>
          <w:ilvl w:val="0"/>
          <w:numId w:val="1"/>
        </w:numPr>
        <w:spacing w:after="80"/>
      </w:pPr>
      <w:r>
        <w:rPr>
          <w:b/>
          <w:bCs/>
        </w:rPr>
        <w:t xml:space="preserve">Filtro solo por seccion, no por palabras clave. </w:t>
      </w:r>
      <w:r>
        <w:t xml:space="preserve">Este bloque se limita a quedarse con la seccion de Oposiciones y concursos, sin distinguir todavia por perfil profesional. El filtrado por palabras clave de informatica se anadira en el Bloque 10.</w:t>
      </w:r>
    </w:p>
    <w:p>
      <w:pPr>
        <w:pStyle w:val="ListParagraph"/>
        <w:numPr>
          <w:ilvl w:val="0"/>
          <w:numId w:val="1"/>
        </w:numPr>
        <w:spacing w:after="80"/>
      </w:pPr>
      <w:r>
        <w:rPr>
          <w:b/>
          <w:bCs/>
        </w:rPr>
        <w:t xml:space="preserve">Sin seguridad por ahora. </w:t>
      </w:r>
      <w:r>
        <w:t xml:space="preserve">El endpoint queda abierto porque scraper-engine es un servicio de uso interno que solo llamara watchers, y esa comunicacion entre microservicios todavia no existe. La seguridad se revisara al conectar ambos servicios en el Bloque 11.</w:t>
      </w:r>
    </w:p>
    <w:p>
      <w:pPr>
        <w:pStyle w:val="Heading1"/>
        <w:spacing w:after="120" w:before="260"/>
      </w:pPr>
      <w:r>
        <w:rPr>
          <w:b/>
          <w:bCs/>
          <w:color w:val="2F5496"/>
        </w:rPr>
        <w:t xml:space="preserve">Archivos creados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800"/>
      </w:tblGrid>
      <w:tr>
        <w:tc>
          <w:tcPr>
            <w:tcW w:type="dxa" w:w="2600"/>
            <w:shd w:fill="EDEDED" w:val="clear"/>
            <w:tcMar>
              <w:top w:type="dxa" w:w="80"/>
              <w:left w:type="dxa" w:w="100"/>
              <w:bottom w:type="dxa" w:w="80"/>
              <w:right w:type="dxa" w:w="100"/>
            </w:tcMar>
          </w:tcPr>
          <w:p>
            <w:r>
              <w:rPr>
                <w:b/>
                <w:bCs/>
                <w:sz w:val="20"/>
                <w:szCs w:val="20"/>
              </w:rPr>
              <w:t xml:space="preserve">Archivo</w:t>
            </w:r>
          </w:p>
        </w:tc>
        <w:tc>
          <w:tcPr>
            <w:tcW w:type="dxa" w:w="2000"/>
            <w:shd w:fill="EDEDED" w:val="clear"/>
            <w:tcMar>
              <w:top w:type="dxa" w:w="80"/>
              <w:left w:type="dxa" w:w="100"/>
              <w:bottom w:type="dxa" w:w="80"/>
              <w:right w:type="dxa" w:w="100"/>
            </w:tcMar>
          </w:tcPr>
          <w:p>
            <w:r>
              <w:rPr>
                <w:b/>
                <w:bCs/>
                <w:sz w:val="20"/>
                <w:szCs w:val="20"/>
              </w:rPr>
              <w:t xml:space="preserve">Tipo</w:t>
            </w:r>
          </w:p>
        </w:tc>
        <w:tc>
          <w:tcPr>
            <w:tcW w:type="dxa" w:w="4800"/>
            <w:shd w:fill="EDEDED" w:val="clear"/>
            <w:tcMar>
              <w:top w:type="dxa" w:w="80"/>
              <w:left w:type="dxa" w:w="100"/>
              <w:bottom w:type="dxa" w:w="80"/>
              <w:right w:type="dxa" w:w="100"/>
            </w:tcMar>
          </w:tcPr>
          <w:p>
            <w:r>
              <w:rPr>
                <w:b/>
                <w:bCs/>
                <w:sz w:val="20"/>
                <w:szCs w:val="20"/>
              </w:rPr>
              <w:t xml:space="preserve">Contenido</w:t>
            </w:r>
          </w:p>
        </w:tc>
      </w:tr>
      <w:tr>
        <w:tc>
          <w:tcPr>
            <w:tcW w:type="dxa" w:w="2600"/>
            <w:tcMar>
              <w:top w:type="dxa" w:w="80"/>
              <w:left w:type="dxa" w:w="100"/>
              <w:bottom w:type="dxa" w:w="80"/>
              <w:right w:type="dxa" w:w="100"/>
            </w:tcMar>
          </w:tcPr>
          <w:p>
            <w:r>
              <w:rPr>
                <w:b w:val="false"/>
                <w:bCs w:val="false"/>
                <w:sz w:val="20"/>
                <w:szCs w:val="20"/>
              </w:rPr>
              <w:t xml:space="preserve">pom.xml</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Esqueleto Maven del microservicio scraper-engine: sin JPA ni PostgreSQL, ya que no persiste nada.</w:t>
            </w:r>
          </w:p>
        </w:tc>
      </w:tr>
      <w:tr>
        <w:tc>
          <w:tcPr>
            <w:tcW w:type="dxa" w:w="2600"/>
            <w:tcMar>
              <w:top w:type="dxa" w:w="80"/>
              <w:left w:type="dxa" w:w="100"/>
              <w:bottom w:type="dxa" w:w="80"/>
              <w:right w:type="dxa" w:w="100"/>
            </w:tcMar>
          </w:tcPr>
          <w:p>
            <w:r>
              <w:rPr>
                <w:b w:val="false"/>
                <w:bCs w:val="false"/>
                <w:sz w:val="20"/>
                <w:szCs w:val="20"/>
              </w:rPr>
              <w:t xml:space="preserve">application.properties</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Puerto 8083 y la URL base de la API del BOE como propiedad configurable.</w:t>
            </w:r>
          </w:p>
        </w:tc>
      </w:tr>
      <w:tr>
        <w:tc>
          <w:tcPr>
            <w:tcW w:type="dxa" w:w="2600"/>
            <w:tcMar>
              <w:top w:type="dxa" w:w="80"/>
              <w:left w:type="dxa" w:w="100"/>
              <w:bottom w:type="dxa" w:w="80"/>
              <w:right w:type="dxa" w:w="100"/>
            </w:tcMar>
          </w:tcPr>
          <w:p>
            <w:r>
              <w:rPr>
                <w:b w:val="false"/>
                <w:bCs w:val="false"/>
                <w:sz w:val="20"/>
                <w:szCs w:val="20"/>
              </w:rPr>
              <w:t xml:space="preserve">ScraperEngineApplication.java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Clase de arranque del microservicio.</w:t>
            </w:r>
          </w:p>
        </w:tc>
      </w:tr>
      <w:tr>
        <w:tc>
          <w:tcPr>
            <w:tcW w:type="dxa" w:w="2600"/>
            <w:tcMar>
              <w:top w:type="dxa" w:w="80"/>
              <w:left w:type="dxa" w:w="100"/>
              <w:bottom w:type="dxa" w:w="80"/>
              <w:right w:type="dxa" w:w="100"/>
            </w:tcMar>
          </w:tcPr>
          <w:p>
            <w:r>
              <w:rPr>
                <w:b w:val="false"/>
                <w:bCs w:val="false"/>
                <w:sz w:val="20"/>
                <w:szCs w:val="20"/>
              </w:rPr>
              <w:t xml:space="preserve">dto/boe/*.java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Ocho clases que reflejan la estructura anidada real del sumario del BOE (diario, seccion, departamento, epigrafe, item).</w:t>
            </w:r>
          </w:p>
        </w:tc>
      </w:tr>
      <w:tr>
        <w:tc>
          <w:tcPr>
            <w:tcW w:type="dxa" w:w="2600"/>
            <w:tcMar>
              <w:top w:type="dxa" w:w="80"/>
              <w:left w:type="dxa" w:w="100"/>
              <w:bottom w:type="dxa" w:w="80"/>
              <w:right w:type="dxa" w:w="100"/>
            </w:tcMar>
          </w:tcPr>
          <w:p>
            <w:r>
              <w:rPr>
                <w:b w:val="false"/>
                <w:bCs w:val="false"/>
                <w:sz w:val="20"/>
                <w:szCs w:val="20"/>
              </w:rPr>
              <w:t xml:space="preserve">BoePostingResponse.java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DTO plano de salida: identificador, titulo, organismo y enlace de cada convocatoria.</w:t>
            </w:r>
          </w:p>
        </w:tc>
      </w:tr>
      <w:tr>
        <w:tc>
          <w:tcPr>
            <w:tcW w:type="dxa" w:w="2600"/>
            <w:tcMar>
              <w:top w:type="dxa" w:w="80"/>
              <w:left w:type="dxa" w:w="100"/>
              <w:bottom w:type="dxa" w:w="80"/>
              <w:right w:type="dxa" w:w="100"/>
            </w:tcMar>
          </w:tcPr>
          <w:p>
            <w:r>
              <w:rPr>
                <w:b w:val="false"/>
                <w:bCs w:val="false"/>
                <w:sz w:val="20"/>
                <w:szCs w:val="20"/>
              </w:rPr>
              <w:t xml:space="preserve">RestTemplateConfig.java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Bean de RestTemplate usado para llamar a la API externa del BOE.</w:t>
            </w:r>
          </w:p>
        </w:tc>
      </w:tr>
      <w:tr>
        <w:tc>
          <w:tcPr>
            <w:tcW w:type="dxa" w:w="2600"/>
            <w:tcMar>
              <w:top w:type="dxa" w:w="80"/>
              <w:left w:type="dxa" w:w="100"/>
              <w:bottom w:type="dxa" w:w="80"/>
              <w:right w:type="dxa" w:w="100"/>
            </w:tcMar>
          </w:tcPr>
          <w:p>
            <w:r>
              <w:rPr>
                <w:b w:val="false"/>
                <w:bCs w:val="false"/>
                <w:sz w:val="20"/>
                <w:szCs w:val="20"/>
              </w:rPr>
              <w:t xml:space="preserve">BoeApiClient.java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Llama al sumario del BOE para una fecha dada y parsea la respuesta con un ObjectMapper configurado para aceptar tanto objetos sueltos como listas.</w:t>
            </w:r>
          </w:p>
        </w:tc>
      </w:tr>
      <w:tr>
        <w:tc>
          <w:tcPr>
            <w:tcW w:type="dxa" w:w="2600"/>
            <w:tcMar>
              <w:top w:type="dxa" w:w="80"/>
              <w:left w:type="dxa" w:w="100"/>
              <w:bottom w:type="dxa" w:w="80"/>
              <w:right w:type="dxa" w:w="100"/>
            </w:tcMar>
          </w:tcPr>
          <w:p>
            <w:r>
              <w:rPr>
                <w:b w:val="false"/>
                <w:bCs w:val="false"/>
                <w:sz w:val="20"/>
                <w:szCs w:val="20"/>
              </w:rPr>
              <w:t xml:space="preserve">BoeScraperService.java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Recorre el sumario, filtra por la seccion de Oposiciones y concursos, y aplana el resultado en una lista simple de convocatorias.</w:t>
            </w:r>
          </w:p>
        </w:tc>
      </w:tr>
      <w:tr>
        <w:tc>
          <w:tcPr>
            <w:tcW w:type="dxa" w:w="2600"/>
            <w:tcMar>
              <w:top w:type="dxa" w:w="80"/>
              <w:left w:type="dxa" w:w="100"/>
              <w:bottom w:type="dxa" w:w="80"/>
              <w:right w:type="dxa" w:w="100"/>
            </w:tcMar>
          </w:tcPr>
          <w:p>
            <w:r>
              <w:rPr>
                <w:b w:val="false"/>
                <w:bCs w:val="false"/>
                <w:sz w:val="20"/>
                <w:szCs w:val="20"/>
              </w:rPr>
              <w:t xml:space="preserve">BoeScraperController.java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Expone GET /api/scraper/boe con un parametro de fecha opcional, sin seguridad todavia (servicio interno).</w:t>
            </w:r>
          </w:p>
        </w:tc>
      </w:tr>
      <w:tr>
        <w:tc>
          <w:tcPr>
            <w:tcW w:type="dxa" w:w="2600"/>
            <w:tcMar>
              <w:top w:type="dxa" w:w="80"/>
              <w:left w:type="dxa" w:w="100"/>
              <w:bottom w:type="dxa" w:w="80"/>
              <w:right w:type="dxa" w:w="100"/>
            </w:tcMar>
          </w:tcPr>
          <w:p>
            <w:r>
              <w:rPr>
                <w:b w:val="false"/>
                <w:bCs w:val="false"/>
                <w:sz w:val="20"/>
                <w:szCs w:val="20"/>
              </w:rPr>
              <w:t xml:space="preserve">BoeApiClientTest.java / BoeScraperServiceTest.java / BoeScraperControllerTest.java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Cobertura del cliente, del filtrado y aplanado del sumario, y del controlador.</w:t>
            </w:r>
          </w:p>
        </w:tc>
      </w:tr>
      <w:tr>
        <w:tc>
          <w:tcPr>
            <w:tcW w:type="dxa" w:w="2600"/>
            <w:tcMar>
              <w:top w:type="dxa" w:w="80"/>
              <w:left w:type="dxa" w:w="100"/>
              <w:bottom w:type="dxa" w:w="80"/>
              <w:right w:type="dxa" w:w="100"/>
            </w:tcMar>
          </w:tcPr>
          <w:p>
            <w:r>
              <w:rPr>
                <w:b w:val="false"/>
                <w:bCs w:val="false"/>
                <w:sz w:val="20"/>
                <w:szCs w:val="20"/>
              </w:rPr>
              <w:t xml:space="preserve">ArchitectureTest.java</w:t>
            </w:r>
          </w:p>
        </w:tc>
        <w:tc>
          <w:tcPr>
            <w:tcW w:type="dxa" w:w="2000"/>
            <w:tcMar>
              <w:top w:type="dxa" w:w="80"/>
              <w:left w:type="dxa" w:w="100"/>
              <w:bottom w:type="dxa" w:w="80"/>
              <w:right w:type="dxa" w:w="100"/>
            </w:tcMar>
          </w:tcPr>
          <w:p>
            <w:r>
              <w:rPr>
                <w:b w:val="false"/>
                <w:bCs w:val="false"/>
                <w:sz w:val="20"/>
                <w:szCs w:val="20"/>
              </w:rPr>
              <w:t xml:space="preserve">Nuevo</w:t>
            </w:r>
          </w:p>
        </w:tc>
        <w:tc>
          <w:tcPr>
            <w:tcW w:type="dxa" w:w="4800"/>
            <w:tcMar>
              <w:top w:type="dxa" w:w="80"/>
              <w:left w:type="dxa" w:w="100"/>
              <w:bottom w:type="dxa" w:w="80"/>
              <w:right w:type="dxa" w:w="100"/>
            </w:tcMar>
          </w:tcPr>
          <w:p>
            <w:r>
              <w:rPr>
                <w:b w:val="false"/>
                <w:bCs w:val="false"/>
                <w:sz w:val="20"/>
                <w:szCs w:val="20"/>
              </w:rPr>
              <w:t xml:space="preserve">Reglas de convencion adaptadas: el controlador no puede depender directamente del cliente HTTP del BOE.</w:t>
            </w:r>
          </w:p>
        </w:tc>
      </w:tr>
    </w:tbl>
    <w:p>
      <w:pPr>
        <w:pStyle w:val="Heading1"/>
        <w:spacing w:after="120" w:before="260"/>
      </w:pPr>
      <w:r>
        <w:rPr>
          <w:b/>
          <w:bCs/>
          <w:color w:val="2F5496"/>
        </w:rPr>
        <w:t xml:space="preserve">Incidencia detectada y resuelta</w:t>
      </w:r>
    </w:p>
    <w:p>
      <w:pPr>
        <w:spacing w:after="140"/>
      </w:pPr>
      <w:r>
        <w:t xml:space="preserve">Al llamar a la API del BOE, la conexion fallaba con SunCertPathBuilderException: unable to find valid certification path to requested target. Tras descartar un problema general del JDK (la misma llamada contra otro dominio HTTPS funcionaba sin problema), se identifico que el certificado de boe.es esta firmado por la FNMT-RCM, una autoridad certificadora espanola que no viene incluida por defecto en el almacen de confianza de Java, aunque si la reconocen los navegadores a traves del sistema operativo. La solucion aplicada fue exportar el certificado raiz y el intermedio desde el propio navegador e importarlos manualmente al cacerts del JDK con keytool.</w:t>
      </w:r>
    </w:p>
    <w:p>
      <w:pPr>
        <w:pStyle w:val="Heading1"/>
        <w:spacing w:after="120" w:before="260"/>
      </w:pPr>
      <w:r>
        <w:rPr>
          <w:b/>
          <w:bCs/>
          <w:color w:val="2F5496"/>
        </w:rPr>
        <w:t xml:space="preserve">Verificacion realizada</w:t>
      </w:r>
    </w:p>
    <w:p>
      <w:pPr>
        <w:spacing w:after="140"/>
      </w:pPr>
      <w:r>
        <w:t xml:space="preserve">Se ha probado en Swagger la llamada GET /api/scraper/boe con una fecha de dia laborable, confirmando que devuelve convocatorias reales del BOE con enlaces validos al documento original. La bateria completa de tests del cliente, el servicio y el controlador se ha ejecutado correctamente.</w:t>
      </w:r>
    </w:p>
    <w:p>
      <w:pPr>
        <w:pStyle w:val="Heading1"/>
        <w:spacing w:after="120" w:before="260"/>
      </w:pPr>
      <w:r>
        <w:rPr>
          <w:b/>
          <w:bCs/>
          <w:color w:val="2F5496"/>
        </w:rPr>
        <w:t xml:space="preserve">Siguiente bloque</w:t>
      </w:r>
    </w:p>
    <w:p>
      <w:pPr>
        <w:spacing w:after="140"/>
      </w:pPr>
      <w:r>
        <w:t xml:space="preserve">Bloque 9: extraccion con Selenium en scraper-engine, usando Chrome en modo headless y selectores CSS estructurados para diputaciones y ayuntamientos.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2026-08-23T23:13:59.915Z</dcterms:created>
  <dcterms:modified xsi:type="dcterms:W3CDTF">2026-08-23T23:13:59.928Z</dcterms:modified>
</cp:coreProperties>
</file>

<file path=docProps/custom.xml><?xml version="1.0" encoding="utf-8"?>
<Properties xmlns="http://schemas.openxmlformats.org/officeDocument/2006/custom-properties" xmlns:vt="http://schemas.openxmlformats.org/officeDocument/2006/docPropsVTypes"/>
</file>