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4E"/>
          <w:sz w:val="32"/>
          <w:szCs w:val="32"/>
        </w:rPr>
        <w:t xml:space="preserve">De pruebas a producción: qué falta para un TPV BBVA/Redsys real</w:t>
      </w:r>
    </w:p>
    <w:p>
      <w:pPr>
        <w:spacing w:after="300"/>
      </w:pPr>
      <w:r>
        <w:rPr>
          <w:b/>
          <w:bCs/>
          <w:color w:val="0B7A6B"/>
          <w:sz w:val="24"/>
          <w:szCs w:val="24"/>
        </w:rPr>
        <w:t xml:space="preserve">SecreGest — Trabajo futuro sobre el Bloque 7 (pago)</w:t>
      </w:r>
    </w:p>
    <w:p>
      <w:pPr>
        <w:pStyle w:val="Heading1"/>
        <w:spacing w:after="200" w:before="400"/>
      </w:pPr>
      <w:r>
        <w:rPr>
          <w:b/>
          <w:bCs/>
          <w:color w:val="1F4E4E"/>
          <w:sz w:val="30"/>
          <w:szCs w:val="30"/>
        </w:rPr>
        <w:t xml:space="preserve">0. Punto de partida</w:t>
      </w:r>
    </w:p>
    <w:p>
      <w:pPr>
        <w:spacing w:after="120"/>
      </w:pPr>
      <w:r>
        <w:t xml:space="preserve">Lo que ya está construido (Bloque 7 ampliado) implementa el protocolo real de Redsys -- la plataforma que hay detrás del TPV Virtual de BBVA y de la mayoría de bancos españoles -- usando el comercio de pruebas público que el propio Redsys facilita para desarrollo: firma HMAC-SHA256 sobre una clave derivada con 3DES, redirección completa del navegador a la pasarela, y confirmación mediante notificación servidor-a-servidor.</w:t>
      </w:r>
    </w:p>
    <w:p>
      <w:pPr>
        <w:spacing w:after="120"/>
      </w:pPr>
      <w:r>
        <w:t xml:space="preserve">La pregunta que responde este documento es: ¿qué haría falta para que ese mismo código cobrara dinero real, de clientes reales, a través de una cuenta real de BBVA? La respuesta corta es que una parte importante es solo cambiar configuración, pero hay bloques de trabajo adicionales -- unos administrativos, otros de código -- que no se pueden saltar.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6F4EA" w:val="clear"/>
          </w:tcPr>
          <w:p>
            <w:pPr>
              <w:spacing w:after="60"/>
            </w:pPr>
            <w:r>
              <w:rPr>
                <w:b/>
                <w:bCs/>
                <w:color w:val="1a7f37"/>
              </w:rPr>
              <w:t xml:space="preserve">Resumen ejecutivo:</w:t>
            </w:r>
          </w:p>
          <w:p>
            <w:pPr>
              <w:spacing w:after="0"/>
            </w:pPr>
            <w:r>
              <w:rPr>
                <w:b w:val="false"/>
                <w:bCs w:val="false"/>
                <w:color w:val="1a7f37"/>
              </w:rPr>
              <w:t xml:space="preserve">~70% de lo necesario ya está construido (arquitectura, firma, flujo). El 30% restante se reparte entre un trámite administrativo (el contrato con BBVA, que no es técnico) y cuatro piezas de código adicionales: autenticación reforzada (SCA/3DS), idempotencia de notificaciones, devoluciones, y gestión segura de secretos.</w:t>
            </w:r>
          </w:p>
        </w:tc>
      </w:tr>
    </w:tbl>
    <w:p>
      <w:pPr>
        <w:pStyle w:val="Heading1"/>
        <w:spacing w:after="200" w:before="400"/>
      </w:pPr>
      <w:r>
        <w:rPr>
          <w:b/>
          <w:bCs/>
          <w:color w:val="1F4E4E"/>
          <w:sz w:val="30"/>
          <w:szCs w:val="30"/>
        </w:rPr>
        <w:t xml:space="preserve">Los cambios, uno a uno</w:t>
      </w:r>
    </w:p>
    <w:p>
      <w:pPr>
        <w:shd w:fill="EAF3F1" w:val="clear"/>
        <w:spacing w:after="100" w:before="300"/>
      </w:pPr>
      <w:r>
        <w:rPr>
          <w:b/>
          <w:bCs/>
          <w:color w:val="1F4E4E"/>
          <w:sz w:val="25"/>
          <w:szCs w:val="25"/>
        </w:rPr>
        <w:t xml:space="preserve">1. Contrato de TPV Virtual con BBVA (administrativo, no técnico)</w:t>
      </w:r>
    </w:p>
    <w:p>
      <w:pPr>
        <w:spacing w:after="120"/>
      </w:pPr>
      <w:r>
        <w:t xml:space="preserve">Para tener un FUC (código de comercio) y una clave secreta reales, hace falta ser una empresa o autónomo dado de alta, con cuenta en BBVA, y pasar por su proceso de alta comercial de TPV Virtual. No es un trámite que se resuelva en una tarde -- normalmente son semanas de gestión con el banco.</w:t>
      </w:r>
    </w:p>
    <w:p>
      <w:pPr>
        <w:pStyle w:val="ListParagraph"/>
        <w:numPr>
          <w:ilvl w:val="0"/>
          <w:numId w:val="2"/>
        </w:numPr>
        <w:spacing w:after="60"/>
      </w:pPr>
      <w:r>
        <w:t xml:space="preserve">Esfuerzo: ninguno de programación. Es puramente administrativo/comercial.</w:t>
      </w:r>
    </w:p>
    <w:p>
      <w:pPr>
        <w:pStyle w:val="ListParagraph"/>
        <w:numPr>
          <w:ilvl w:val="0"/>
          <w:numId w:val="2"/>
        </w:numPr>
        <w:spacing w:after="60"/>
      </w:pPr>
      <w:r>
        <w:t xml:space="preserve">Bloqueante: sí -- sin esto, ningún otro cambio de esta lista tiene sentido, porque no hay credenciales reales que usar.</w:t>
      </w:r>
    </w:p>
    <w:p>
      <w:pPr>
        <w:pStyle w:val="ListParagraph"/>
        <w:numPr>
          <w:ilvl w:val="0"/>
          <w:numId w:val="2"/>
        </w:numPr>
        <w:spacing w:after="60"/>
      </w:pPr>
      <w:r>
        <w:t xml:space="preserve">Para el TFG: si la agencia de secretariado del proyecto no es (todavía) un negocio real dado de alta, este punto queda fuera de alcance por definición, y así puede plantearse en la memoria: la arquitectura está lista, falta el contrato real.</w:t>
      </w:r>
    </w:p>
    <w:p>
      <w:pPr>
        <w:shd w:fill="EAF3F1" w:val="clear"/>
        <w:spacing w:after="100" w:before="300"/>
      </w:pPr>
      <w:r>
        <w:rPr>
          <w:b/>
          <w:bCs/>
          <w:color w:val="1F4E4E"/>
          <w:sz w:val="25"/>
          <w:szCs w:val="25"/>
        </w:rPr>
        <w:t xml:space="preserve">2. Sustituir las credenciales de prueba por las reales</w:t>
      </w:r>
    </w:p>
    <w:p>
      <w:pPr>
        <w:spacing w:after="120"/>
      </w:pPr>
      <w:r>
        <w:t xml:space="preserve">Esto sí es solo configuración, tal como estaba planteado desde el principio. En cuanto BBVA entregue el FUC y la clave del comercio real:</w:t>
      </w:r>
    </w:p>
    <w:p>
      <w:pPr>
        <w:shd w:fill="F2F2F2" w:val="clear"/>
        <w:spacing w:after="0"/>
      </w:pPr>
      <w:r>
        <w:rPr>
          <w:rFonts w:ascii="Consolas" w:cs="Consolas" w:eastAsia="Consolas" w:hAnsi="Consolas"/>
          <w:color w:val="222222"/>
          <w:sz w:val="18"/>
          <w:szCs w:val="18"/>
        </w:rPr>
        <w:t xml:space="preserve">redsys.merchant-code=&lt;FUC real de BBVA&gt;</w:t>
      </w:r>
    </w:p>
    <w:p>
      <w:pPr>
        <w:shd w:fill="F2F2F2" w:val="clear"/>
        <w:spacing w:after="0"/>
      </w:pPr>
      <w:r>
        <w:rPr>
          <w:rFonts w:ascii="Consolas" w:cs="Consolas" w:eastAsia="Consolas" w:hAnsi="Consolas"/>
          <w:color w:val="222222"/>
          <w:sz w:val="18"/>
          <w:szCs w:val="18"/>
        </w:rPr>
        <w:t xml:space="preserve">redsys.terminal=&lt;terminal real&gt;</w:t>
      </w:r>
    </w:p>
    <w:p>
      <w:pPr>
        <w:shd w:fill="F2F2F2" w:val="clear"/>
        <w:spacing w:after="0"/>
      </w:pPr>
      <w:r>
        <w:rPr>
          <w:rFonts w:ascii="Consolas" w:cs="Consolas" w:eastAsia="Consolas" w:hAnsi="Consolas"/>
          <w:color w:val="222222"/>
          <w:sz w:val="18"/>
          <w:szCs w:val="18"/>
        </w:rPr>
        <w:t xml:space="preserve">redsys.secret-key=&lt;clave real, distinta para cada comercio&gt;</w:t>
      </w:r>
    </w:p>
    <w:p>
      <w:pPr>
        <w:shd w:fill="F2F2F2" w:val="clear"/>
        <w:spacing w:after="0"/>
      </w:pPr>
      <w:r>
        <w:rPr>
          <w:rFonts w:ascii="Consolas" w:cs="Consolas" w:eastAsia="Consolas" w:hAnsi="Consolas"/>
          <w:color w:val="222222"/>
          <w:sz w:val="18"/>
          <w:szCs w:val="18"/>
        </w:rPr>
        <w:t xml:space="preserve">redsys.gateway-url=https://sis.redsys.es/sis/realizarPago</w:t>
      </w:r>
    </w:p>
    <w:p>
      <w:pPr>
        <w:shd w:fill="F2F2F2" w:val="clear"/>
        <w:spacing w:after="0"/>
      </w:pPr>
      <w:r>
        <w:rPr>
          <w:rFonts w:ascii="Consolas" w:cs="Consolas" w:eastAsia="Consolas" w:hAnsi="Consolas"/>
          <w:color w:val="222222"/>
          <w:sz w:val="18"/>
          <w:szCs w:val="18"/>
        </w:rPr>
        <w:t xml:space="preserve"># (nota el dominio sin "-t": ese es el de PRODUCCION, no el de pruebas)</w:t>
      </w:r>
    </w:p>
    <w:p>
      <w:pPr>
        <w:spacing w:after="120"/>
      </w:pPr>
      <w:r>
        <w:t xml:space="preserve">Ningún archivo .java cambiaría por este punto: RedsysService, TaskService y los controllers ya están escritos de forma independiente del comercio concreto.</w:t>
      </w:r>
    </w:p>
    <w:p>
      <w:pPr>
        <w:shd w:fill="EAF3F1" w:val="clear"/>
        <w:spacing w:after="100" w:before="300"/>
      </w:pPr>
      <w:r>
        <w:rPr>
          <w:b/>
          <w:bCs/>
          <w:color w:val="1F4E4E"/>
          <w:sz w:val="25"/>
          <w:szCs w:val="25"/>
        </w:rPr>
        <w:t xml:space="preserve">3. Dominio público con HTTPS real (no ngrok, no autofirmado)</w:t>
      </w:r>
    </w:p>
    <w:p>
      <w:pPr>
        <w:spacing w:after="120"/>
      </w:pPr>
      <w:r>
        <w:t xml:space="preserve">La notify-url tiene que ser un dominio propio con certificado válido. En pruebas usamos ngrok porque es temporal y gratuito; en producción, Redsys exige HTTPS real y valida el certificado -- uno autofirmado no sirve. Esto ya estaba contemplado en el Bloque 13 (seguridad avanzada y despliegue) de la hoja de ruta general del proyecto, pero conviene remarcar que el TPV depende directamente de que ese paso se haga primero, no es opcional solo para este bloque.</w:t>
      </w:r>
    </w:p>
    <w:p>
      <w:pPr>
        <w:pStyle w:val="ListParagraph"/>
        <w:numPr>
          <w:ilvl w:val="0"/>
          <w:numId w:val="2"/>
        </w:numPr>
        <w:spacing w:after="60"/>
      </w:pPr>
      <w:r>
        <w:t xml:space="preserve">Esfuerzo: despliegue/infraestructura, no lógica de negocio nueva.</w:t>
      </w:r>
    </w:p>
    <w:p>
      <w:pPr>
        <w:pStyle w:val="ListParagraph"/>
        <w:numPr>
          <w:ilvl w:val="0"/>
          <w:numId w:val="2"/>
        </w:numPr>
        <w:spacing w:after="60"/>
      </w:pPr>
      <w:r>
        <w:t xml:space="preserve">Encaja con: Bloque 13 (dominio, HTTPS, Docker en un servidor real).</w:t>
      </w:r>
    </w:p>
    <w:p>
      <w:pPr>
        <w:shd w:fill="EAF3F1" w:val="clear"/>
        <w:spacing w:after="100" w:before="300"/>
      </w:pPr>
      <w:r>
        <w:rPr>
          <w:b/>
          <w:bCs/>
          <w:color w:val="1F4E4E"/>
          <w:sz w:val="25"/>
          <w:szCs w:val="25"/>
        </w:rPr>
        <w:t xml:space="preserve">4. Autenticación reforzada del cliente (SCA / 3D Secure) -- esto SÍ es código nuevo</w:t>
      </w:r>
    </w:p>
    <w:p>
      <w:pPr>
        <w:spacing w:after="120"/>
      </w:pPr>
      <w:r>
        <w:t xml:space="preserve">Desde que entró en vigor la normativa europea PSD2, los pagos con tarjeta online dentro de la UE exigen autenticación reforzada del titular (el típico "confirma en tu app del banco" o un SMS con código). El flujo implementado ahora usa la integración básica de Redsys; en producción real, Redsys exigirá pasar por el flujo 3D Secure 2, que añade:</w:t>
      </w:r>
    </w:p>
    <w:p>
      <w:pPr>
        <w:pStyle w:val="ListParagraph"/>
        <w:numPr>
          <w:ilvl w:val="0"/>
          <w:numId w:val="2"/>
        </w:numPr>
        <w:spacing w:after="60"/>
      </w:pPr>
      <w:r>
        <w:t xml:space="preserve">Parámetros adicionales en Ds_MerchantParameters relacionados con el 3DS (identificación del navegador del cliente, huella digital del dispositivo).</w:t>
      </w:r>
    </w:p>
    <w:p>
      <w:pPr>
        <w:pStyle w:val="ListParagraph"/>
        <w:numPr>
          <w:ilvl w:val="0"/>
          <w:numId w:val="2"/>
        </w:numPr>
        <w:spacing w:after="60"/>
      </w:pPr>
      <w:r>
        <w:t xml:space="preserve">Un posible paso intermedio de "desafío" (challenge) antes de la confirmación final, gestionado por el banco emisor de la tarjeta del cliente, no por SecreGest.</w:t>
      </w:r>
    </w:p>
    <w:p>
      <w:pPr>
        <w:pStyle w:val="ListParagraph"/>
        <w:numPr>
          <w:ilvl w:val="0"/>
          <w:numId w:val="2"/>
        </w:numPr>
        <w:spacing w:after="60"/>
      </w:pPr>
      <w:r>
        <w:t xml:space="preserve">Manejo de los nuevos códigos de respuesta específicos de 3DS en confirmRedsysPayment().</w:t>
      </w:r>
    </w:p>
    <w:p>
      <w:pPr>
        <w:spacing w:after="120"/>
      </w:pPr>
      <w:r>
        <w:t xml:space="preserve">Es un cambio acotado (no hay que rediseñar la arquitectura), pero sí genuino código nuevo en RedsysService y en el controller de notificación, no una variable de entorno.</w:t>
      </w:r>
    </w:p>
    <w:p>
      <w:pPr>
        <w:shd w:fill="EAF3F1" w:val="clear"/>
        <w:spacing w:after="100" w:before="300"/>
      </w:pPr>
      <w:r>
        <w:rPr>
          <w:b/>
          <w:bCs/>
          <w:color w:val="1F4E4E"/>
          <w:sz w:val="25"/>
          <w:szCs w:val="25"/>
        </w:rPr>
        <w:t xml:space="preserve">5. Idempotencia: proteger la notificación de reenvíos duplicados</w:t>
      </w:r>
    </w:p>
    <w:p>
      <w:pPr>
        <w:spacing w:after="120"/>
      </w:pPr>
      <w:r>
        <w:t xml:space="preserve">Redsys puede reenviar la misma notificación varias veces si no recibe una respuesta 200 a tiempo (problemas de red, el servidor tardó en responder, etc.). PaymentNotificationController, tal como está ahora, no comprueba si un Ds_Order ya fue procesado antes de aplicar el cambio de estado.</w:t>
      </w:r>
    </w:p>
    <w:p>
      <w:pPr>
        <w:pStyle w:val="ListParagraph"/>
        <w:numPr>
          <w:ilvl w:val="0"/>
          <w:numId w:val="2"/>
        </w:numPr>
        <w:spacing w:after="60"/>
      </w:pPr>
      <w:r>
        <w:t xml:space="preserve">Riesgo real en producción: si confirmRedsysPayment() se ejecuta dos veces para el mismo pedido, como mínimo se duplicaría el email de recibo; si en el futuro se añade lógica adicional al confirmar un pago (por ejemplo, notificar a un sistema de contabilidad), podría duplicarse también eso.</w:t>
      </w:r>
    </w:p>
    <w:p>
      <w:pPr>
        <w:pStyle w:val="ListParagraph"/>
        <w:numPr>
          <w:ilvl w:val="0"/>
          <w:numId w:val="2"/>
        </w:numPr>
        <w:spacing w:after="60"/>
      </w:pPr>
      <w:r>
        <w:t xml:space="preserve">La corrección es sencilla: antes de procesar, comprobar si payment.getStatus() ya es COMPLETADO o FALLIDO, y si es así, responder 200 sin volver a ejecutar la lógica de negocio (confirmar que ya se hizo, no repetirla).</w:t>
      </w:r>
    </w:p>
    <w:p>
      <w:pPr>
        <w:pStyle w:val="ListParagraph"/>
        <w:numPr>
          <w:ilvl w:val="0"/>
          <w:numId w:val="2"/>
        </w:numPr>
        <w:spacing w:after="60"/>
      </w:pPr>
      <w:r>
        <w:t xml:space="preserve">Esfuerzo: bajo, unas pocas líneas en TaskService.confirmRedsysPayment().</w:t>
      </w:r>
    </w:p>
    <w:p>
      <w:pPr>
        <w:shd w:fill="EAF3F1" w:val="clear"/>
        <w:spacing w:after="100" w:before="300"/>
      </w:pPr>
      <w:r>
        <w:rPr>
          <w:b/>
          <w:bCs/>
          <w:color w:val="1F4E4E"/>
          <w:sz w:val="25"/>
          <w:szCs w:val="25"/>
        </w:rPr>
        <w:t xml:space="preserve">6. Devoluciones y anulaciones</w:t>
      </w:r>
    </w:p>
    <w:p>
      <w:pPr>
        <w:spacing w:after="120"/>
      </w:pPr>
      <w:r>
        <w:t xml:space="preserve">El código actual solo implementa el tipo de operación "0" (pago normal, DS_MERCHANT_TRANSACTIONTYPE). Un TPV de producción normalmente necesita también:</w:t>
      </w:r>
    </w:p>
    <w:p>
      <w:pPr>
        <w:pStyle w:val="ListParagraph"/>
        <w:numPr>
          <w:ilvl w:val="0"/>
          <w:numId w:val="2"/>
        </w:numPr>
        <w:spacing w:after="60"/>
      </w:pPr>
      <w:r>
        <w:t xml:space="preserve">Devolución total o parcial de un pago ya confirmado (tipo de operación distinto en Redsys, con su propia firma).</w:t>
      </w:r>
    </w:p>
    <w:p>
      <w:pPr>
        <w:pStyle w:val="ListParagraph"/>
        <w:numPr>
          <w:ilvl w:val="0"/>
          <w:numId w:val="2"/>
        </w:numPr>
        <w:spacing w:after="60"/>
      </w:pPr>
      <w:r>
        <w:t xml:space="preserve">Un caso de uso de negocio que hoy no existe en SecreGest: ¿qué pasa si el cliente ya pagó y la agencia decide cancelar el encargo? Ahora mismo no hay ningún estado ni flujo para eso -- habría que decidir la regla de negocio antes de escribir el código (¿reembolso automático, o requiere aprobación del admin?).</w:t>
      </w:r>
    </w:p>
    <w:p>
      <w:pPr>
        <w:pStyle w:val="ListParagraph"/>
        <w:numPr>
          <w:ilvl w:val="0"/>
          <w:numId w:val="2"/>
        </w:numPr>
        <w:spacing w:after="60"/>
      </w:pPr>
      <w:r>
        <w:t xml:space="preserve">Esfuerzo: medio -- nuevo endpoint, nueva llamada a Redsys con firma propia, y una decisión de producto pendiente.</w:t>
      </w:r>
    </w:p>
    <w:p>
      <w:pPr>
        <w:shd w:fill="EAF3F1" w:val="clear"/>
        <w:spacing w:after="100" w:before="300"/>
      </w:pPr>
      <w:r>
        <w:rPr>
          <w:b/>
          <w:bCs/>
          <w:color w:val="1F4E4E"/>
          <w:sz w:val="25"/>
          <w:szCs w:val="25"/>
        </w:rPr>
        <w:t xml:space="preserve">7. Gestión segura de secretos</w:t>
      </w:r>
    </w:p>
    <w:p>
      <w:pPr>
        <w:spacing w:after="120"/>
      </w:pPr>
      <w:r>
        <w:t xml:space="preserve">Mismo aviso que ya se hizo con las credenciales de Gmail y el secreto JWT: redsys.secret-key en un application.properties en texto plano vale para desarrollo, pero en cuanto hay dinero real de por medio es el candidato más urgente a mover a un gestor de secretos (variables de entorno inyectadas de forma segura en el servidor de despliegue, o un servicio como HashiCorp Vault / AWS Secrets Manager / Azure Key Vault) en vez de vivir en un archivo versionable.</w:t>
      </w:r>
    </w:p>
    <w:p>
      <w:pPr>
        <w:pStyle w:val="ListParagraph"/>
        <w:numPr>
          <w:ilvl w:val="0"/>
          <w:numId w:val="2"/>
        </w:numPr>
        <w:spacing w:after="60"/>
      </w:pPr>
      <w:r>
        <w:t xml:space="preserve">Encaja con: Bloque 13 (seguridad avanzada), igual que el resto de credenciales del proyecto.</w:t>
      </w:r>
    </w:p>
    <w:p>
      <w:pPr>
        <w:shd w:fill="EAF3F1" w:val="clear"/>
        <w:spacing w:after="100" w:before="300"/>
      </w:pPr>
      <w:r>
        <w:rPr>
          <w:b/>
          <w:bCs/>
          <w:color w:val="1F4E4E"/>
          <w:sz w:val="25"/>
          <w:szCs w:val="25"/>
        </w:rPr>
        <w:t xml:space="preserve">8. Conciliación y trazabilidad contable</w:t>
      </w:r>
    </w:p>
    <w:p>
      <w:pPr>
        <w:spacing w:after="120"/>
      </w:pPr>
      <w:r>
        <w:t xml:space="preserve">Para un negocio real, no basta con marcar la tarea como PAGADA -- normalmente hace falta poder cuadrar, al final del mes, lo que dice el sistema con lo que dice el extracto bancario/el panel de comercio de Redsys. Esto implica:</w:t>
      </w:r>
    </w:p>
    <w:p>
      <w:pPr>
        <w:pStyle w:val="ListParagraph"/>
        <w:numPr>
          <w:ilvl w:val="0"/>
          <w:numId w:val="2"/>
        </w:numPr>
        <w:spacing w:after="60"/>
      </w:pPr>
      <w:r>
        <w:t xml:space="preserve">Guardar más datos del Payment de los que se guardan ahora (por ejemplo, el código de autorización que devuelve el banco, no solo el código de respuesta).</w:t>
      </w:r>
    </w:p>
    <w:p>
      <w:pPr>
        <w:pStyle w:val="ListParagraph"/>
        <w:numPr>
          <w:ilvl w:val="0"/>
          <w:numId w:val="2"/>
        </w:numPr>
        <w:spacing w:after="60"/>
      </w:pPr>
      <w:r>
        <w:t xml:space="preserve">Posiblemente, un informe o exportación periódica para el admin.</w:t>
      </w:r>
    </w:p>
    <w:p>
      <w:pPr>
        <w:pStyle w:val="ListParagraph"/>
        <w:numPr>
          <w:ilvl w:val="0"/>
          <w:numId w:val="2"/>
        </w:numPr>
        <w:spacing w:after="60"/>
      </w:pPr>
      <w:r>
        <w:t xml:space="preserve">Esfuerzo: variable, depende de cuánto detalle se quiera -- es más una decisión de producto que un requisito técnico obligatorio de Redsys.</w:t>
      </w:r>
    </w:p>
    <w:p>
      <w:pPr>
        <w:pStyle w:val="Heading1"/>
        <w:spacing w:after="200" w:before="400"/>
      </w:pPr>
      <w:r>
        <w:rPr>
          <w:b/>
          <w:bCs/>
          <w:color w:val="1F4E4E"/>
          <w:sz w:val="30"/>
          <w:szCs w:val="30"/>
        </w:rPr>
        <w:t xml:space="preserve">Tabla resumen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1800"/>
        <w:gridCol w:w="2000"/>
      </w:tblGrid>
      <w:tr>
        <w:tc>
          <w:tcPr>
            <w:tcW w:type="pct" w:w="25%"/>
            <w:shd w:fill="1F4E4E" w:val="clear"/>
          </w:tcPr>
          <w:p>
            <w:r>
              <w:rPr>
                <w:b/>
                <w:bCs/>
                <w:color w:val="FFFFFF"/>
                <w:sz w:val="19"/>
                <w:szCs w:val="19"/>
              </w:rPr>
              <w:t xml:space="preserve">Cambio</w:t>
            </w:r>
          </w:p>
        </w:tc>
        <w:tc>
          <w:tcPr>
            <w:tcW w:type="pct" w:w="25%"/>
            <w:shd w:fill="1F4E4E" w:val="clear"/>
          </w:tcPr>
          <w:p>
            <w:r>
              <w:rPr>
                <w:b/>
                <w:bCs/>
                <w:color w:val="FFFFFF"/>
                <w:sz w:val="19"/>
                <w:szCs w:val="19"/>
              </w:rPr>
              <w:t xml:space="preserve">Tipo</w:t>
            </w:r>
          </w:p>
        </w:tc>
        <w:tc>
          <w:tcPr>
            <w:tcW w:type="pct" w:w="25%"/>
            <w:shd w:fill="1F4E4E" w:val="clear"/>
          </w:tcPr>
          <w:p>
            <w:r>
              <w:rPr>
                <w:b/>
                <w:bCs/>
                <w:color w:val="FFFFFF"/>
                <w:sz w:val="19"/>
                <w:szCs w:val="19"/>
              </w:rPr>
              <w:t xml:space="preserve">Esfuerzo</w:t>
            </w:r>
          </w:p>
        </w:tc>
        <w:tc>
          <w:tcPr>
            <w:tcW w:type="pct" w:w="25%"/>
            <w:shd w:fill="1F4E4E" w:val="clear"/>
          </w:tcPr>
          <w:p>
            <w:r>
              <w:rPr>
                <w:b/>
                <w:bCs/>
                <w:color w:val="FFFFFF"/>
                <w:sz w:val="19"/>
                <w:szCs w:val="19"/>
              </w:rPr>
              <w:t xml:space="preserve">¿Bloqueante?</w:t>
            </w:r>
          </w:p>
        </w:tc>
      </w:tr>
      <w:tr>
        <w:tc>
          <w:tcPr>
            <w:tcW w:type="pct" w:w="25%"/>
          </w:tcPr>
          <w:p>
            <w:r>
              <w:rPr>
                <w:b w:val="false"/>
                <w:bCs w:val="false"/>
                <w:color w:val="000000"/>
                <w:sz w:val="19"/>
                <w:szCs w:val="19"/>
              </w:rPr>
              <w:t xml:space="preserve">Contrato con BBVA</w:t>
            </w:r>
          </w:p>
        </w:tc>
        <w:tc>
          <w:tcPr>
            <w:tcW w:type="pct" w:w="25%"/>
          </w:tcPr>
          <w:p>
            <w:r>
              <w:rPr>
                <w:b w:val="false"/>
                <w:bCs w:val="false"/>
                <w:color w:val="000000"/>
                <w:sz w:val="19"/>
                <w:szCs w:val="19"/>
              </w:rPr>
              <w:t xml:space="preserve">Administrativo</w:t>
            </w:r>
          </w:p>
        </w:tc>
        <w:tc>
          <w:tcPr>
            <w:tcW w:type="pct" w:w="25%"/>
          </w:tcPr>
          <w:p>
            <w:r>
              <w:rPr>
                <w:b w:val="false"/>
                <w:bCs w:val="false"/>
                <w:color w:val="000000"/>
                <w:sz w:val="19"/>
                <w:szCs w:val="19"/>
              </w:rPr>
              <w:t xml:space="preserve">Alto (tiempo, no código)</w:t>
            </w:r>
          </w:p>
        </w:tc>
        <w:tc>
          <w:tcPr>
            <w:tcW w:type="pct" w:w="25%"/>
          </w:tcPr>
          <w:p>
            <w:r>
              <w:rPr>
                <w:b w:val="false"/>
                <w:bCs w:val="false"/>
                <w:color w:val="000000"/>
                <w:sz w:val="19"/>
                <w:szCs w:val="19"/>
              </w:rPr>
              <w:t xml:space="preserve">Sí, es el primero de todos</w:t>
            </w:r>
          </w:p>
        </w:tc>
      </w:tr>
      <w:tr>
        <w:tc>
          <w:tcPr>
            <w:tcW w:type="pct" w:w="25%"/>
          </w:tcPr>
          <w:p>
            <w:r>
              <w:rPr>
                <w:b w:val="false"/>
                <w:bCs w:val="false"/>
                <w:color w:val="000000"/>
                <w:sz w:val="19"/>
                <w:szCs w:val="19"/>
              </w:rPr>
              <w:t xml:space="preserve">Credenciales reales</w:t>
            </w:r>
          </w:p>
        </w:tc>
        <w:tc>
          <w:tcPr>
            <w:tcW w:type="pct" w:w="25%"/>
          </w:tcPr>
          <w:p>
            <w:r>
              <w:rPr>
                <w:b w:val="false"/>
                <w:bCs w:val="false"/>
                <w:color w:val="000000"/>
                <w:sz w:val="19"/>
                <w:szCs w:val="19"/>
              </w:rPr>
              <w:t xml:space="preserve">Configuración</w:t>
            </w:r>
          </w:p>
        </w:tc>
        <w:tc>
          <w:tcPr>
            <w:tcW w:type="pct" w:w="25%"/>
          </w:tcPr>
          <w:p>
            <w:r>
              <w:rPr>
                <w:b w:val="false"/>
                <w:bCs w:val="false"/>
                <w:color w:val="000000"/>
                <w:sz w:val="19"/>
                <w:szCs w:val="19"/>
              </w:rPr>
              <w:t xml:space="preserve">Muy bajo</w:t>
            </w:r>
          </w:p>
        </w:tc>
        <w:tc>
          <w:tcPr>
            <w:tcW w:type="pct" w:w="25%"/>
          </w:tcPr>
          <w:p>
            <w:r>
              <w:rPr>
                <w:b w:val="false"/>
                <w:bCs w:val="false"/>
                <w:color w:val="000000"/>
                <w:sz w:val="19"/>
                <w:szCs w:val="19"/>
              </w:rPr>
              <w:t xml:space="preserve">Depende del punto 1</w:t>
            </w:r>
          </w:p>
        </w:tc>
      </w:tr>
      <w:tr>
        <w:tc>
          <w:tcPr>
            <w:tcW w:type="pct" w:w="25%"/>
          </w:tcPr>
          <w:p>
            <w:r>
              <w:rPr>
                <w:b w:val="false"/>
                <w:bCs w:val="false"/>
                <w:color w:val="000000"/>
                <w:sz w:val="19"/>
                <w:szCs w:val="19"/>
              </w:rPr>
              <w:t xml:space="preserve">Dominio + HTTPS real</w:t>
            </w:r>
          </w:p>
        </w:tc>
        <w:tc>
          <w:tcPr>
            <w:tcW w:type="pct" w:w="25%"/>
          </w:tcPr>
          <w:p>
            <w:r>
              <w:rPr>
                <w:b w:val="false"/>
                <w:bCs w:val="false"/>
                <w:color w:val="000000"/>
                <w:sz w:val="19"/>
                <w:szCs w:val="19"/>
              </w:rPr>
              <w:t xml:space="preserve">Infraestructura</w:t>
            </w:r>
          </w:p>
        </w:tc>
        <w:tc>
          <w:tcPr>
            <w:tcW w:type="pct" w:w="25%"/>
          </w:tcPr>
          <w:p>
            <w:r>
              <w:rPr>
                <w:b w:val="false"/>
                <w:bCs w:val="false"/>
                <w:color w:val="000000"/>
                <w:sz w:val="19"/>
                <w:szCs w:val="19"/>
              </w:rPr>
              <w:t xml:space="preserve">Medio</w:t>
            </w:r>
          </w:p>
        </w:tc>
        <w:tc>
          <w:tcPr>
            <w:tcW w:type="pct" w:w="25%"/>
          </w:tcPr>
          <w:p>
            <w:r>
              <w:rPr>
                <w:b w:val="false"/>
                <w:bCs w:val="false"/>
                <w:color w:val="000000"/>
                <w:sz w:val="19"/>
                <w:szCs w:val="19"/>
              </w:rPr>
              <w:t xml:space="preserve">Sí, para recibir notificaciones</w:t>
            </w:r>
          </w:p>
        </w:tc>
      </w:tr>
      <w:tr>
        <w:tc>
          <w:tcPr>
            <w:tcW w:type="pct" w:w="25%"/>
          </w:tcPr>
          <w:p>
            <w:r>
              <w:rPr>
                <w:b w:val="false"/>
                <w:bCs w:val="false"/>
                <w:color w:val="000000"/>
                <w:sz w:val="19"/>
                <w:szCs w:val="19"/>
              </w:rPr>
              <w:t xml:space="preserve">SCA / 3D Secure</w:t>
            </w:r>
          </w:p>
        </w:tc>
        <w:tc>
          <w:tcPr>
            <w:tcW w:type="pct" w:w="25%"/>
          </w:tcPr>
          <w:p>
            <w:r>
              <w:rPr>
                <w:b w:val="false"/>
                <w:bCs w:val="false"/>
                <w:color w:val="000000"/>
                <w:sz w:val="19"/>
                <w:szCs w:val="19"/>
              </w:rPr>
              <w:t xml:space="preserve">Código nuevo</w:t>
            </w:r>
          </w:p>
        </w:tc>
        <w:tc>
          <w:tcPr>
            <w:tcW w:type="pct" w:w="25%"/>
          </w:tcPr>
          <w:p>
            <w:r>
              <w:rPr>
                <w:b w:val="false"/>
                <w:bCs w:val="false"/>
                <w:color w:val="000000"/>
                <w:sz w:val="19"/>
                <w:szCs w:val="19"/>
              </w:rPr>
              <w:t xml:space="preserve">Medio</w:t>
            </w:r>
          </w:p>
        </w:tc>
        <w:tc>
          <w:tcPr>
            <w:tcW w:type="pct" w:w="25%"/>
          </w:tcPr>
          <w:p>
            <w:r>
              <w:rPr>
                <w:b w:val="false"/>
                <w:bCs w:val="false"/>
                <w:color w:val="000000"/>
                <w:sz w:val="19"/>
                <w:szCs w:val="19"/>
              </w:rPr>
              <w:t xml:space="preserve">Sí, lo exige la normativa UE</w:t>
            </w:r>
          </w:p>
        </w:tc>
      </w:tr>
      <w:tr>
        <w:tc>
          <w:tcPr>
            <w:tcW w:type="pct" w:w="25%"/>
          </w:tcPr>
          <w:p>
            <w:r>
              <w:rPr>
                <w:b w:val="false"/>
                <w:bCs w:val="false"/>
                <w:color w:val="000000"/>
                <w:sz w:val="19"/>
                <w:szCs w:val="19"/>
              </w:rPr>
              <w:t xml:space="preserve">Idempotencia</w:t>
            </w:r>
          </w:p>
        </w:tc>
        <w:tc>
          <w:tcPr>
            <w:tcW w:type="pct" w:w="25%"/>
          </w:tcPr>
          <w:p>
            <w:r>
              <w:rPr>
                <w:b w:val="false"/>
                <w:bCs w:val="false"/>
                <w:color w:val="000000"/>
                <w:sz w:val="19"/>
                <w:szCs w:val="19"/>
              </w:rPr>
              <w:t xml:space="preserve">Código nuevo</w:t>
            </w:r>
          </w:p>
        </w:tc>
        <w:tc>
          <w:tcPr>
            <w:tcW w:type="pct" w:w="25%"/>
          </w:tcPr>
          <w:p>
            <w:r>
              <w:rPr>
                <w:b w:val="false"/>
                <w:bCs w:val="false"/>
                <w:color w:val="000000"/>
                <w:sz w:val="19"/>
                <w:szCs w:val="19"/>
              </w:rPr>
              <w:t xml:space="preserve">Bajo</w:t>
            </w:r>
          </w:p>
        </w:tc>
        <w:tc>
          <w:tcPr>
            <w:tcW w:type="pct" w:w="25%"/>
          </w:tcPr>
          <w:p>
            <w:r>
              <w:rPr>
                <w:b w:val="false"/>
                <w:bCs w:val="false"/>
                <w:color w:val="000000"/>
                <w:sz w:val="19"/>
                <w:szCs w:val="19"/>
              </w:rPr>
              <w:t xml:space="preserve">No, pero recomendable</w:t>
            </w:r>
          </w:p>
        </w:tc>
      </w:tr>
      <w:tr>
        <w:tc>
          <w:tcPr>
            <w:tcW w:type="pct" w:w="25%"/>
          </w:tcPr>
          <w:p>
            <w:r>
              <w:rPr>
                <w:b w:val="false"/>
                <w:bCs w:val="false"/>
                <w:color w:val="000000"/>
                <w:sz w:val="19"/>
                <w:szCs w:val="19"/>
              </w:rPr>
              <w:t xml:space="preserve">Devoluciones</w:t>
            </w:r>
          </w:p>
        </w:tc>
        <w:tc>
          <w:tcPr>
            <w:tcW w:type="pct" w:w="25%"/>
          </w:tcPr>
          <w:p>
            <w:r>
              <w:rPr>
                <w:b w:val="false"/>
                <w:bCs w:val="false"/>
                <w:color w:val="000000"/>
                <w:sz w:val="19"/>
                <w:szCs w:val="19"/>
              </w:rPr>
              <w:t xml:space="preserve">Código nuevo + decisión de producto</w:t>
            </w:r>
          </w:p>
        </w:tc>
        <w:tc>
          <w:tcPr>
            <w:tcW w:type="pct" w:w="25%"/>
          </w:tcPr>
          <w:p>
            <w:r>
              <w:rPr>
                <w:b w:val="false"/>
                <w:bCs w:val="false"/>
                <w:color w:val="000000"/>
                <w:sz w:val="19"/>
                <w:szCs w:val="19"/>
              </w:rPr>
              <w:t xml:space="preserve">Medio</w:t>
            </w:r>
          </w:p>
        </w:tc>
        <w:tc>
          <w:tcPr>
            <w:tcW w:type="pct" w:w="25%"/>
          </w:tcPr>
          <w:p>
            <w:r>
              <w:rPr>
                <w:b w:val="false"/>
                <w:bCs w:val="false"/>
                <w:color w:val="000000"/>
                <w:sz w:val="19"/>
                <w:szCs w:val="19"/>
              </w:rPr>
              <w:t xml:space="preserve">No, salvo que el negocio lo requiera</w:t>
            </w:r>
          </w:p>
        </w:tc>
      </w:tr>
      <w:tr>
        <w:tc>
          <w:tcPr>
            <w:tcW w:type="pct" w:w="25%"/>
          </w:tcPr>
          <w:p>
            <w:r>
              <w:rPr>
                <w:b w:val="false"/>
                <w:bCs w:val="false"/>
                <w:color w:val="000000"/>
                <w:sz w:val="19"/>
                <w:szCs w:val="19"/>
              </w:rPr>
              <w:t xml:space="preserve">Gestión de secretos</w:t>
            </w:r>
          </w:p>
        </w:tc>
        <w:tc>
          <w:tcPr>
            <w:tcW w:type="pct" w:w="25%"/>
          </w:tcPr>
          <w:p>
            <w:r>
              <w:rPr>
                <w:b w:val="false"/>
                <w:bCs w:val="false"/>
                <w:color w:val="000000"/>
                <w:sz w:val="19"/>
                <w:szCs w:val="19"/>
              </w:rPr>
              <w:t xml:space="preserve">Infraestructura</w:t>
            </w:r>
          </w:p>
        </w:tc>
        <w:tc>
          <w:tcPr>
            <w:tcW w:type="pct" w:w="25%"/>
          </w:tcPr>
          <w:p>
            <w:r>
              <w:rPr>
                <w:b w:val="false"/>
                <w:bCs w:val="false"/>
                <w:color w:val="000000"/>
                <w:sz w:val="19"/>
                <w:szCs w:val="19"/>
              </w:rPr>
              <w:t xml:space="preserve">Bajo-medio</w:t>
            </w:r>
          </w:p>
        </w:tc>
        <w:tc>
          <w:tcPr>
            <w:tcW w:type="pct" w:w="25%"/>
          </w:tcPr>
          <w:p>
            <w:r>
              <w:rPr>
                <w:b w:val="false"/>
                <w:bCs w:val="false"/>
                <w:color w:val="000000"/>
                <w:sz w:val="19"/>
                <w:szCs w:val="19"/>
              </w:rPr>
              <w:t xml:space="preserve">No, pero muy recomendable</w:t>
            </w:r>
          </w:p>
        </w:tc>
      </w:tr>
      <w:tr>
        <w:tc>
          <w:tcPr>
            <w:tcW w:type="pct" w:w="25%"/>
          </w:tcPr>
          <w:p>
            <w:r>
              <w:rPr>
                <w:b w:val="false"/>
                <w:bCs w:val="false"/>
                <w:color w:val="000000"/>
                <w:sz w:val="19"/>
                <w:szCs w:val="19"/>
              </w:rPr>
              <w:t xml:space="preserve">Conciliación</w:t>
            </w:r>
          </w:p>
        </w:tc>
        <w:tc>
          <w:tcPr>
            <w:tcW w:type="pct" w:w="25%"/>
          </w:tcPr>
          <w:p>
            <w:r>
              <w:rPr>
                <w:b w:val="false"/>
                <w:bCs w:val="false"/>
                <w:color w:val="000000"/>
                <w:sz w:val="19"/>
                <w:szCs w:val="19"/>
              </w:rPr>
              <w:t xml:space="preserve">Código nuevo + producto</w:t>
            </w:r>
          </w:p>
        </w:tc>
        <w:tc>
          <w:tcPr>
            <w:tcW w:type="pct" w:w="25%"/>
          </w:tcPr>
          <w:p>
            <w:r>
              <w:rPr>
                <w:b w:val="false"/>
                <w:bCs w:val="false"/>
                <w:color w:val="000000"/>
                <w:sz w:val="19"/>
                <w:szCs w:val="19"/>
              </w:rPr>
              <w:t xml:space="preserve">Variable</w:t>
            </w:r>
          </w:p>
        </w:tc>
        <w:tc>
          <w:tcPr>
            <w:tcW w:type="pct" w:w="25%"/>
          </w:tcPr>
          <w:p>
            <w:r>
              <w:rPr>
                <w:b w:val="false"/>
                <w:bCs w:val="false"/>
                <w:color w:val="000000"/>
                <w:sz w:val="19"/>
                <w:szCs w:val="19"/>
              </w:rPr>
              <w:t xml:space="preserve">No</w:t>
            </w:r>
          </w:p>
        </w:tc>
      </w:tr>
    </w:tbl>
    <w:p>
      <w:pPr>
        <w:pStyle w:val="Heading1"/>
        <w:spacing w:after="200" w:before="400"/>
      </w:pPr>
      <w:r>
        <w:rPr>
          <w:b/>
          <w:bCs/>
          <w:color w:val="1F4E4E"/>
          <w:sz w:val="30"/>
          <w:szCs w:val="30"/>
        </w:rPr>
        <w:t xml:space="preserve">Recomendación de orden, si algún día se aborda</w:t>
      </w:r>
    </w:p>
    <w:p>
      <w:pPr>
        <w:pStyle w:val="ListParagraph"/>
        <w:numPr>
          <w:ilvl w:val="0"/>
          <w:numId w:val="2"/>
        </w:numPr>
        <w:spacing w:after="60"/>
      </w:pPr>
      <w:r>
        <w:t xml:space="preserve">1) Resolver el contrato con BBVA (es lo único que no puedes adelantar tú desde el código).</w:t>
      </w:r>
    </w:p>
    <w:p>
      <w:pPr>
        <w:pStyle w:val="ListParagraph"/>
        <w:numPr>
          <w:ilvl w:val="0"/>
          <w:numId w:val="2"/>
        </w:numPr>
        <w:spacing w:after="60"/>
      </w:pPr>
      <w:r>
        <w:t xml:space="preserve">2) En paralelo, adelantar la idempotencia (punto 5) -- es la corrección más barata y evita un problema real desde el primer día en producción.</w:t>
      </w:r>
    </w:p>
    <w:p>
      <w:pPr>
        <w:pStyle w:val="ListParagraph"/>
        <w:numPr>
          <w:ilvl w:val="0"/>
          <w:numId w:val="2"/>
        </w:numPr>
        <w:spacing w:after="60"/>
      </w:pPr>
      <w:r>
        <w:t xml:space="preserve">3) Cuando el Bloque 13 (despliegue) esté hecho, ya tienes el dominio y HTTPS resueltos -- aprovecha ese momento para cambiar las credenciales (punto 2) y mover los secretos (punto 7) a la vez, ya que ambos dependen del mismo despliegue.</w:t>
      </w:r>
    </w:p>
    <w:p>
      <w:pPr>
        <w:pStyle w:val="ListParagraph"/>
        <w:numPr>
          <w:ilvl w:val="0"/>
          <w:numId w:val="2"/>
        </w:numPr>
        <w:spacing w:after="60"/>
      </w:pPr>
      <w:r>
        <w:t xml:space="preserve">4) SCA/3DS (punto 4) antes de aceptar el primer pago real -- no es opcional, lo exige la ley.</w:t>
      </w:r>
    </w:p>
    <w:p>
      <w:pPr>
        <w:pStyle w:val="ListParagraph"/>
        <w:numPr>
          <w:ilvl w:val="0"/>
          <w:numId w:val="2"/>
        </w:numPr>
        <w:spacing w:after="60"/>
      </w:pPr>
      <w:r>
        <w:t xml:space="preserve">5) Devoluciones y conciliación (puntos 6 y 8), cuando el negocio los necesite de verdad -- no antes, para no construir algo que quizá no haga falta.</w:t>
      </w:r>
    </w:p>
    <w:p>
      <w:pPr>
        <w:pStyle w:val="Heading1"/>
        <w:spacing w:after="200" w:before="400"/>
      </w:pPr>
      <w:r>
        <w:rPr>
          <w:b/>
          <w:bCs/>
          <w:color w:val="1F4E4E"/>
          <w:sz w:val="30"/>
          <w:szCs w:val="30"/>
        </w:rPr>
        <w:t xml:space="preserve">Nota para la memoria del TFG</w:t>
      </w:r>
    </w:p>
    <w:p>
      <w:pPr>
        <w:spacing w:after="120"/>
      </w:pPr>
      <w:r>
        <w:t xml:space="preserve">Esta lista es exactamente el tipo de contenido que suele valorarse bien en la sección de "trabajo futuro" o "líneas de continuidad" de una memoria de TFG: demuestra que el alumno entiende la diferencia entre un prototipo funcional (lo que hay ahora, con el comercio de pruebas) y un sistema listo para producción, y que sabe identificar qué falta sin necesidad de haberlo implementado todo -- que es precisamente lo que se espera a nivel de análisis, incluso si el tiempo del proyecto no permite construir cada punto.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2026-07-16T12:16:44.984Z</dcterms:created>
  <dcterms:modified xsi:type="dcterms:W3CDTF">2026-07-16T12:16:45.008Z</dcterms:modified>
</cp:coreProperties>
</file>

<file path=docProps/custom.xml><?xml version="1.0" encoding="utf-8"?>
<Properties xmlns="http://schemas.openxmlformats.org/officeDocument/2006/custom-properties" xmlns:vt="http://schemas.openxmlformats.org/officeDocument/2006/docPropsVTypes"/>
</file>