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4B52" w:rsidRDefault="0032089B">
      <w:pPr>
        <w:rPr>
          <w:rFonts w:ascii="Helvetica neue" w:hAnsi="Helvetica neue"/>
          <w:noProof/>
          <w:sz w:val="24"/>
          <w:szCs w:val="24"/>
        </w:rPr>
      </w:pPr>
      <w:r>
        <w:rPr>
          <w:rFonts w:ascii="Helvetica neue" w:hAnsi="Helvetica neue"/>
          <w:sz w:val="24"/>
          <w:szCs w:val="24"/>
        </w:rPr>
        <w:t>After logging in the text box can be used to inject commands. The text is not read as a string and can be used to manipulate the site. For example, when “</w:t>
      </w:r>
      <w:proofErr w:type="gramStart"/>
      <w:r>
        <w:rPr>
          <w:rFonts w:ascii="Helvetica neue" w:hAnsi="Helvetica neue"/>
          <w:sz w:val="24"/>
          <w:szCs w:val="24"/>
        </w:rPr>
        <w:t>print(</w:t>
      </w:r>
      <w:proofErr w:type="gramEnd"/>
      <w:r>
        <w:rPr>
          <w:rFonts w:ascii="Helvetica neue" w:hAnsi="Helvetica neue"/>
          <w:sz w:val="24"/>
          <w:szCs w:val="24"/>
        </w:rPr>
        <w:t>)” is entered, it attempts to print the page.</w:t>
      </w:r>
    </w:p>
    <w:p w:rsidR="00AC7E4B" w:rsidRDefault="00AC7E4B">
      <w:pPr>
        <w:rPr>
          <w:rFonts w:ascii="Helvetica neue" w:hAnsi="Helvetica neue"/>
          <w:sz w:val="24"/>
          <w:szCs w:val="24"/>
        </w:rPr>
      </w:pPr>
      <w:r>
        <w:rPr>
          <w:rFonts w:ascii="Helvetica neue" w:hAnsi="Helvetica neue"/>
          <w:noProof/>
          <w:sz w:val="24"/>
          <w:szCs w:val="24"/>
        </w:rPr>
        <w:drawing>
          <wp:inline distT="0" distB="0" distL="0" distR="0">
            <wp:extent cx="5086350" cy="22669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rintInput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7E4B" w:rsidRDefault="00AC7E4B">
      <w:pPr>
        <w:rPr>
          <w:rFonts w:ascii="Helvetica neue" w:hAnsi="Helvetica neue"/>
          <w:sz w:val="24"/>
          <w:szCs w:val="24"/>
        </w:rPr>
      </w:pPr>
      <w:r>
        <w:rPr>
          <w:rFonts w:ascii="Helvetica neue" w:hAnsi="Helvetica neue"/>
          <w:sz w:val="24"/>
          <w:szCs w:val="24"/>
        </w:rPr>
        <w:t>The user is prompted to enter printer details and the site is shown in black and white, losing some of its formatting during the print preview.</w:t>
      </w:r>
      <w:bookmarkStart w:id="0" w:name="_GoBack"/>
      <w:bookmarkEnd w:id="0"/>
    </w:p>
    <w:p w:rsidR="00AC7E4B" w:rsidRDefault="00AC7E4B">
      <w:pPr>
        <w:rPr>
          <w:rFonts w:ascii="Helvetica neue" w:hAnsi="Helvetica neue"/>
          <w:sz w:val="24"/>
          <w:szCs w:val="24"/>
        </w:rPr>
      </w:pPr>
      <w:r>
        <w:rPr>
          <w:rFonts w:ascii="Helvetica neue" w:hAnsi="Helvetica neue"/>
          <w:noProof/>
          <w:sz w:val="24"/>
          <w:szCs w:val="24"/>
        </w:rPr>
        <w:drawing>
          <wp:inline distT="0" distB="0" distL="0" distR="0">
            <wp:extent cx="5943600" cy="29464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rintCmdInj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089B" w:rsidRPr="0032089B" w:rsidRDefault="0032089B">
      <w:pPr>
        <w:rPr>
          <w:rFonts w:ascii="Helvetica neue" w:hAnsi="Helvetica neue"/>
          <w:sz w:val="24"/>
          <w:szCs w:val="24"/>
        </w:rPr>
      </w:pPr>
    </w:p>
    <w:sectPr w:rsidR="0032089B" w:rsidRPr="003208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altName w:val="Arial"/>
    <w:panose1 w:val="00000000000000000000"/>
    <w:charset w:val="0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089B"/>
    <w:rsid w:val="0032089B"/>
    <w:rsid w:val="003D5BC1"/>
    <w:rsid w:val="00AC7E4B"/>
    <w:rsid w:val="00CB5381"/>
    <w:rsid w:val="00E50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E1E8CE"/>
  <w15:chartTrackingRefBased/>
  <w15:docId w15:val="{97EF9F6C-968C-4374-ACB6-42C2158834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52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Isaiah Garnett</dc:creator>
  <cp:keywords/>
  <dc:description/>
  <cp:lastModifiedBy>Isaiah Garnett</cp:lastModifiedBy>
  <cp:revision>1</cp:revision>
  <dcterms:created xsi:type="dcterms:W3CDTF">2018-04-14T22:12:00Z</dcterms:created>
  <dcterms:modified xsi:type="dcterms:W3CDTF">2018-04-14T22:24:00Z</dcterms:modified>
</cp:coreProperties>
</file>