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64" w:rsidRDefault="00C81C19">
      <w:r>
        <w:rPr>
          <w:noProof/>
          <w:lang w:eastAsia="pl-PL"/>
        </w:rPr>
        <w:drawing>
          <wp:inline distT="0" distB="0" distL="0" distR="0" wp14:anchorId="6295CB8A" wp14:editId="66A8B050">
            <wp:extent cx="5486400" cy="418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19" w:rsidRDefault="00C81C19"/>
    <w:p w:rsidR="00C81C19" w:rsidRPr="00C81C19" w:rsidRDefault="00C81C19" w:rsidP="00C81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81C19" w:rsidRPr="00C81C19" w:rsidRDefault="00C81C19" w:rsidP="00C81C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C81C19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C81C19" w:rsidRPr="00C81C19" w:rsidRDefault="00C81C19" w:rsidP="00C81C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 xml:space="preserve">Silniczek z wbudowaną przekładnią o redukcji 610-krotnej. Wał wyjściowy znajduje się na środku frontu silnika, </w:t>
      </w:r>
      <w:proofErr w:type="spellStart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>momo</w:t>
      </w:r>
      <w:proofErr w:type="spellEnd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 xml:space="preserve"> że przekładnia nie jest konstrukcji planetarnej. Typ SG-27123000-610k. Zasilanie 12 V prądu stałego, silnik pracuje już od 2 V przy obu biegunowościach, czyli już od ok. 0,7 obrotów na minutę. Bez obciążenia 4,8 </w:t>
      </w:r>
      <w:proofErr w:type="spellStart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>obr</w:t>
      </w:r>
      <w:proofErr w:type="spellEnd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 xml:space="preserve">/min przy prądzie 20 </w:t>
      </w:r>
      <w:proofErr w:type="spellStart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>mA</w:t>
      </w:r>
      <w:proofErr w:type="spellEnd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 xml:space="preserve">, z obciążeniem 25 N.cm (ok. 2,5 kg.cm). Przy zasilaniu 3V pobór prądu tylko 5,5-7 </w:t>
      </w:r>
      <w:proofErr w:type="spellStart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>mA</w:t>
      </w:r>
      <w:proofErr w:type="spellEnd"/>
      <w:r w:rsidRPr="00C81C19">
        <w:rPr>
          <w:rFonts w:ascii="Times New Roman" w:eastAsia="Times New Roman" w:hAnsi="Times New Roman" w:cs="Times New Roman"/>
          <w:color w:val="000080"/>
          <w:sz w:val="28"/>
          <w:szCs w:val="28"/>
          <w:lang w:eastAsia="pl-PL"/>
        </w:rPr>
        <w:t>! Oś o średnicy 4 mm, długość korpusu 46 mm razem z reduktorem, średnica 27 mm. Większość kół przekładni ze stali. Uwaga, aktualna partia silników posiada oczekiwane przez naszych klientów, miękkie wyprowadzenia przewodowe. Silniki nowe, z produkcji maj 2013. Faktura.</w:t>
      </w:r>
    </w:p>
    <w:p w:rsidR="00C81C19" w:rsidRPr="00C81C19" w:rsidRDefault="00C81C19" w:rsidP="00C81C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C81C19">
        <w:rPr>
          <w:rFonts w:ascii="Arial" w:eastAsia="Times New Roman" w:hAnsi="Arial" w:cs="Arial"/>
          <w:vanish/>
          <w:sz w:val="16"/>
          <w:szCs w:val="16"/>
          <w:lang w:eastAsia="pl-PL"/>
        </w:rPr>
        <w:t>Dół formularza</w:t>
      </w:r>
    </w:p>
    <w:p w:rsidR="00C81C19" w:rsidRDefault="00C81C19">
      <w:bookmarkStart w:id="0" w:name="_GoBack"/>
      <w:bookmarkEnd w:id="0"/>
    </w:p>
    <w:sectPr w:rsidR="00C8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19"/>
    <w:rsid w:val="008A1064"/>
    <w:rsid w:val="00C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8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1C19"/>
    <w:rPr>
      <w:rFonts w:ascii="Tahoma" w:hAnsi="Tahoma" w:cs="Tahoma"/>
      <w:sz w:val="16"/>
      <w:szCs w:val="16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81C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81C19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8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81C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81C19"/>
    <w:rPr>
      <w:rFonts w:ascii="Arial" w:eastAsia="Times New Roman" w:hAnsi="Arial" w:cs="Arial"/>
      <w:vanish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8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1C19"/>
    <w:rPr>
      <w:rFonts w:ascii="Tahoma" w:hAnsi="Tahoma" w:cs="Tahoma"/>
      <w:sz w:val="16"/>
      <w:szCs w:val="16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81C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81C19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8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81C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81C19"/>
    <w:rPr>
      <w:rFonts w:ascii="Arial" w:eastAsia="Times New Roman" w:hAnsi="Arial" w:cs="Arial"/>
      <w:vanish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642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senio</cp:lastModifiedBy>
  <cp:revision>1</cp:revision>
  <dcterms:created xsi:type="dcterms:W3CDTF">2015-02-28T20:03:00Z</dcterms:created>
  <dcterms:modified xsi:type="dcterms:W3CDTF">2015-02-28T20:03:00Z</dcterms:modified>
</cp:coreProperties>
</file>