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67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67)</w:t>
      </w:r>
    </w:p>
    <w:p>
      <w:pPr>
        <w:spacing w:after="40" w:before="140"/>
      </w:pPr>
      <w:r>
        <w:rPr>
          <w:rFonts w:ascii="Arial" w:cs="Arial" w:eastAsia="Arial" w:hAnsi="Arial"/>
          <w:b/>
          <w:bCs/>
          <w:color w:val="0F3A5D"/>
          <w:sz w:val="21"/>
          <w:szCs w:val="21"/>
        </w:rPr>
        <w:t xml:space="preserve">1. Carbon, Climate &amp; Ecosystem Services (Blue Carbon, Forest Carbon &amp; Climate Finance) (19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2026-09-25T00:21:07.229Z</dcterms:created>
  <dcterms:modified xsi:type="dcterms:W3CDTF">2026-09-25T00:21:07.234Z</dcterms:modified>
</cp:coreProperties>
</file>

<file path=docProps/custom.xml><?xml version="1.0" encoding="utf-8"?>
<Properties xmlns="http://schemas.openxmlformats.org/officeDocument/2006/custom-properties" xmlns:vt="http://schemas.openxmlformats.org/officeDocument/2006/docPropsVTypes"/>
</file>