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30+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70+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15+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(SRN-PPI,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&gt;100,000 hectares of peatlands and wetlands concessions in Indonesia, embedding ESG frameworks, Verra VCS + CCB, Plan Vivo,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ecosystem restoration concessions (&gt;100,000 ha) across Papua and Sumatra.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35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&gt;100,000 hectares of forest concessions in Southwest Papua and West Papua Provinces. Synthesized remote sensing GIS analysis, forest carbon stock estimates, baseline deforestation drivers, regulatory compliance pathways (SRN-PPI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Offshore Operations &amp;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fisheries and offshore energy operations in Indonesian seas.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Marine Biodiversity Survey &amp; Ecological Monitoring in Anambas Islands Marine Tourism Park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comprehensive marine biodiversity assessments, underwater visual census (UVC) for coral reef benthic cover and reef fish biomass, and megafauna habitat surveys across the remote Anambas Islands Marine Tourism Park (TWP Anambas).</w:t>
      </w:r>
    </w:p>
    <w:p>
      <w:pPr>
        <w:spacing w:after="20" w:before="100"/>
      </w:pPr>
      <w:r>
        <w:rPr>
          <w:rFonts w:ascii="Arial" w:cs="Arial" w:eastAsia="Arial" w:hAnsi="Arial"/>
          <w:b/>
          <w:bCs/>
          <w:color w:val="0F3A5D"/>
          <w:sz w:val="20"/>
          <w:szCs w:val="20"/>
        </w:rPr>
        <w:t xml:space="preserve">26.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27.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28. Feasibility Assessment and Wildlife Protection Mechanisms for Lucipara Atolls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conservation options, ecological baseline reviews, and legal governance mechanisms for the protection of critical nesting seabird colonies, sea turtle rookeries, and pristine coral atoll ecosystems in the remote Lucipara and Penyu Islands (Banda Sea).</w:t>
      </w:r>
    </w:p>
    <w:p>
      <w:pPr>
        <w:spacing w:after="20" w:before="100"/>
      </w:pPr>
      <w:r>
        <w:rPr>
          <w:rFonts w:ascii="Arial" w:cs="Arial" w:eastAsia="Arial" w:hAnsi="Arial"/>
          <w:b/>
          <w:bCs/>
          <w:color w:val="0F3A5D"/>
          <w:sz w:val="20"/>
          <w:szCs w:val="20"/>
        </w:rPr>
        <w:t xml:space="preserve">29. National Policy Note on Sustainable Coastal Governance &amp; Blue Investment Opportunities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Policy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 high-level policy review synthesizing national coastal legislation (UU 27/2007, UU 1/2014), integrated coastal zone management (ICZM) frameworks, and institutional barriers to unlock sustainable blue finance for coastal ecosystem conservation in Indonesia.</w:t>
      </w:r>
    </w:p>
    <w:p>
      <w:pPr>
        <w:spacing w:after="20" w:before="100"/>
      </w:pPr>
      <w:r>
        <w:rPr>
          <w:rFonts w:ascii="Arial" w:cs="Arial" w:eastAsia="Arial" w:hAnsi="Arial"/>
          <w:b/>
          <w:bCs/>
          <w:color w:val="0F3A5D"/>
          <w:sz w:val="20"/>
          <w:szCs w:val="20"/>
        </w:rPr>
        <w:t xml:space="preserve">30. Oceans MDTF Analytical Report: Gap Analysis of Public-Private Partnerships in Alor MPA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Oceans MDTF / World Bank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institutional and legal gap analysis of Public-Private Partnership (PPP) and co-management financing models for the Alor Marine Protected Area (KKPD Alor), evaluating revenue-generation mechanisms, dive tourism fees, and customary marine tenure (Molo) integration.</w:t>
      </w:r>
    </w:p>
    <w:p>
      <w:pPr>
        <w:spacing w:after="20" w:before="100"/>
      </w:pPr>
      <w:r>
        <w:rPr>
          <w:rFonts w:ascii="Arial" w:cs="Arial" w:eastAsia="Arial" w:hAnsi="Arial"/>
          <w:b/>
          <w:bCs/>
          <w:color w:val="0F3A5D"/>
          <w:sz w:val="20"/>
          <w:szCs w:val="20"/>
        </w:rPr>
        <w:t xml:space="preserve">31. Diagnostic Study on Gaps &amp; Implementation Challenges of RZWP3K Coastal Zoning in NTT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Regional Coastal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Delivered a diagnostic study examining regulatory conflicts, spatial data incongruities, and inter-agency enforcement bottlenecks in implementing the Provincial Coastal and Small Islands Zoning Plan (RZWP-3-K) across East Nusa Tenggara (NTT) Province.</w:t>
      </w:r>
    </w:p>
    <w:p>
      <w:pPr>
        <w:spacing w:after="20" w:before="100"/>
      </w:pPr>
      <w:r>
        <w:rPr>
          <w:rFonts w:ascii="Arial" w:cs="Arial" w:eastAsia="Arial" w:hAnsi="Arial"/>
          <w:b/>
          <w:bCs/>
          <w:color w:val="0F3A5D"/>
          <w:sz w:val="20"/>
          <w:szCs w:val="20"/>
        </w:rPr>
        <w:t xml:space="preserve">32.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33.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34.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35.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63)</w:t>
      </w:r>
    </w:p>
    <w:p>
      <w:pPr>
        <w:spacing w:after="40" w:before="140"/>
      </w:pPr>
      <w:r>
        <w:rPr>
          <w:rFonts w:ascii="Arial" w:cs="Arial" w:eastAsia="Arial" w:hAnsi="Arial"/>
          <w:b/>
          <w:bCs/>
          <w:color w:val="0F3A5D"/>
          <w:sz w:val="21"/>
          <w:szCs w:val="21"/>
        </w:rPr>
        <w:t xml:space="preserve">1. Carbon, Climate &amp; Ecosystem Services (Blue Carbon, Forest Carbon &amp; Climate Finance) (15 Programs)</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4)</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4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4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20" w:before="80"/>
      </w:pPr>
      <w:r>
        <w:rPr>
          <w:rFonts w:ascii="Arial" w:cs="Arial" w:eastAsia="Arial" w:hAnsi="Arial"/>
          <w:b/>
          <w:bCs/>
          <w:color w:val="0F3A5D"/>
          <w:sz w:val="20"/>
          <w:szCs w:val="20"/>
        </w:rPr>
        <w:t xml:space="preserve">3. Sound of Fish Affects Fish Productivity</w:t>
      </w:r>
    </w:p>
    <w:p>
      <w:pPr>
        <w:spacing w:after="4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20" w:before="80"/>
      </w:pPr>
      <w:r>
        <w:rPr>
          <w:rFonts w:ascii="Arial" w:cs="Arial" w:eastAsia="Arial" w:hAnsi="Arial"/>
          <w:b/>
          <w:bCs/>
          <w:color w:val="0F3A5D"/>
          <w:sz w:val="20"/>
          <w:szCs w:val="20"/>
        </w:rPr>
        <w:t xml:space="preserve">4. Investigation on Salinity, Turbidity, and Total Suspended Solid (TSS) in Cimandiri River and Its Impact on Marine Environment</w:t>
      </w:r>
    </w:p>
    <w:p>
      <w:pPr>
        <w:spacing w:after="4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2026-09-14T14:43:42.617Z</dcterms:created>
  <dcterms:modified xsi:type="dcterms:W3CDTF">2026-09-14T14:43:42.618Z</dcterms:modified>
</cp:coreProperties>
</file>

<file path=docProps/custom.xml><?xml version="1.0" encoding="utf-8"?>
<Properties xmlns="http://schemas.openxmlformats.org/officeDocument/2006/custom-properties" xmlns:vt="http://schemas.openxmlformats.org/officeDocument/2006/docPropsVTypes"/>
</file>