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32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67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(Sistem Registry Unit Karbon Indonesia / SRUK,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&gt;200,000 hectares of peatlands and wetlands concessions in West Papua and Southwest Papua, embedding ESG frameworks, Verra VCS + CCB,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wetland ecosystem restoration concessions (&gt;200,000 ha) across West Papua and Southwest Papua.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32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&gt;200,000 hectares of wetland and peatland forest concessions in Southwest Papua and West Papua Provinces. Synthesized remote sensing GIS analysis, forest carbon stock estimates, baseline deforestation drivers, regulatory compliance pathways (Sistem Registry Unit Karbon Indonesia / SRUK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26.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27.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28.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29.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30.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spacing w:after="20" w:before="100"/>
      </w:pPr>
      <w:r>
        <w:rPr>
          <w:rFonts w:ascii="Arial" w:cs="Arial" w:eastAsia="Arial" w:hAnsi="Arial"/>
          <w:b/>
          <w:bCs/>
          <w:color w:val="0F3A5D"/>
          <w:sz w:val="20"/>
          <w:szCs w:val="20"/>
        </w:rPr>
        <w:t xml:space="preserve">31. Sustainable Tuna Fisheries Management Based on Acoustic Measurement, Length-Based Assessment, and FAD Management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The Nature Conservancy (TNC)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December 2017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&amp; FISHERIES GOVERNANCE</w:t>
      </w:r>
    </w:p>
    <w:p>
      <w:pPr>
        <w:spacing w:after="100" w:before="0"/>
      </w:pPr>
      <w:r>
        <w:rPr>
          <w:rFonts w:ascii="Arial" w:cs="Arial" w:eastAsia="Arial" w:hAnsi="Arial"/>
          <w:color w:val="1E293B"/>
          <w:sz w:val="19"/>
          <w:szCs w:val="19"/>
        </w:rPr>
        <w:t xml:space="preserve">Led the technical implementation of low-cost marine bioacoustic surveys and hydroacoustic telemetry beneath Fish Aggregating Devices (FADs / Rumpon) to quantify juvenile tuna biomass and deep-water pelagic schooling behavior. Integrated hydroacoustic data with on-board Captain-Operated Data Recording Systems (CODRS) and length-based spawning potential ratio (SPR) assessments to formulate policy briefs on voluntary FAD management guidelines and harvest strategy compliance in Indonesian tuna fisheries.</w:t>
      </w:r>
    </w:p>
    <w:p>
      <w:pPr>
        <w:spacing w:after="20" w:before="100"/>
      </w:pPr>
      <w:r>
        <w:rPr>
          <w:rFonts w:ascii="Arial" w:cs="Arial" w:eastAsia="Arial" w:hAnsi="Arial"/>
          <w:b/>
          <w:bCs/>
          <w:color w:val="0F3A5D"/>
          <w:sz w:val="20"/>
          <w:szCs w:val="20"/>
        </w:rPr>
        <w:t xml:space="preserve">32. Marine Mammal Monitoring and Mitigation Plan for 3D Marine Seismic Acquisition in Mentawai Block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Total E&amp;P Indonesie Mentawai B.V. / PPLH IPB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2015 - January 2016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 ENVIRONMENTAL ASSESSMENT &amp; SAFEGUARDS</w:t>
      </w:r>
    </w:p>
    <w:p>
      <w:pPr>
        <w:spacing w:after="100" w:before="0"/>
      </w:pPr>
      <w:r>
        <w:rPr>
          <w:rFonts w:ascii="Arial" w:cs="Arial" w:eastAsia="Arial" w:hAnsi="Arial"/>
          <w:color w:val="1E293B"/>
          <w:sz w:val="19"/>
          <w:szCs w:val="19"/>
        </w:rPr>
        <w:t xml:space="preserve">Led technical health, safety, and environmental (HSE) protocols and JNCC-compliant Marine Mammal Observation (MMO) and Passive Acoustic Monitoring (PAM) during the deep-water 3D marine seismic survey using airgun arrays in the Total E&amp;P Indonesie Mentawai B.V. Block (Indian Ocean). Executed 360-degree pre-shooting visual and acoustic scans, enforced safety exclusion zones, managed soft-start ramp-up procedures to prevent acoustic trauma to marine mammals, and delivered daily environmental compliance reports to the Party Chief and international operators.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67)</w:t>
      </w:r>
    </w:p>
    <w:p>
      <w:pPr>
        <w:spacing w:after="40" w:before="140"/>
      </w:pPr>
      <w:r>
        <w:rPr>
          <w:rFonts w:ascii="Arial" w:cs="Arial" w:eastAsia="Arial" w:hAnsi="Arial"/>
          <w:b/>
          <w:bCs/>
          <w:color w:val="0F3A5D"/>
          <w:sz w:val="21"/>
          <w:szCs w:val="21"/>
        </w:rPr>
        <w:t xml:space="preserve">1. Carbon, Climate &amp; Ecosystem Services (Blue Carbon, Forest Carbon &amp; Climate Finance) (19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2026-09-23T15:54:06.726Z</dcterms:created>
  <dcterms:modified xsi:type="dcterms:W3CDTF">2026-09-23T15:54:06.728Z</dcterms:modified>
</cp:coreProperties>
</file>

<file path=docProps/custom.xml><?xml version="1.0" encoding="utf-8"?>
<Properties xmlns="http://schemas.openxmlformats.org/officeDocument/2006/custom-properties" xmlns:vt="http://schemas.openxmlformats.org/officeDocument/2006/docPropsVTypes"/>
</file>