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cfwoby8eqag_nv-qh7h-y">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dbwffskypnp6qpk5vicn7">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6j4xrsvhwyjdlgrobacvi">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8: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Managed multidisciplinary carbon project operations across terrestrial, peatland, and coastal wetland concession areas (&gt;200,000 ha) in West Papua and Southwest Papua. Directed cross-functional field teams across forestry, biodiversity, and socio-tenurial workstreams executing rigorous ecological baselines, HCSA, HCV, and ground-based carbon stock accounting (SNI 7724). Spearheaded customary clan and kinship mapping, establishing an integrated tenurial database encompassing 350+ customary clans (marga), 240+ customary dusun boundaries, 11 sub-tribes, and 36 villages across 4 districts for PT SHL and PT SHE. Orchestrated multi-tier stakeholder management, Free, Prior, and Informed Consent (FPIC) consultations, and clan-level equitable benefit-sharing frameworks to secure social license to operate (SLO). Coordinated regulatory licensing and environmental permit pathways with the Ministry of Forestry and the Ministry of Environment, formulating Environmental and Social Management Plans (ESMP) and robust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land-based and vessel visual observation during 2D and Transition Zone (TZ) marine seismic surveys for KrisEnergy (Udan Emas) BV in Arguni Bay, West Papua. Enforced pre-shooting visual scans, exclusion zone protocols, and soft-start ramp-up procedures to safeguard marine biotas. Field observations confirmed 64 Australian humpback dolphin groups (Sousa sahulensis) and 40 Indo-Pacific bottlenose dolphin groups (Tursiops aduncus), directly cited by the IUCN Joint SSC/WCPA Marine Mammal Protected Areas Task Force (Wijaya, 2015; Beasley et al., 2016) as foundational empirical evidence designating Arguni Bay as a global marine mammal biodiversity hotspot (Kaimana IMMA).</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customary clan identification across district and provincial levels in Southwest Papua. Established an integrated tenurial database documenting 350+ customary clans (marga) and 240+ customary dusun boundaries, formulating the initial stakeholder engagement strategy, clan-level FPIC protocols, and statutory licensing pathways to secure social license to operate (SLO) and support environmental permit acquisition for forest carbon ecosystem restoration.</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(8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 Incorporates primary survey observations in Arguni Bay confirming 64 Sousa sahulensis groups and 40 Tursiops aduncus groups, formally cited as key empirical evidence by the IUCN Joint SSC/WCPA Task Force (2022) in designating the Kaimana, West Papua Important Marine Mammal Area (IMMA).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Prototype Radio Wave-Based Autonomous Patrol Vessel: Design for Maritime Border Security in Outer Islands of Indonesia (Prototipe Kapal Patroli Perairan Tanpa Awak)</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Technical conference paper on the conceptual design of an autonomous surface/underwater vehicle (AUV/ASV) utilizing radio navigation and Differential GPS (DGPS) for automated maritime surveillance and border deterrence against illegal, unreported, and unregulated (IUU) fishing.</w:t>
      </w:r>
    </w:p>
    <w:p>
      <w:pPr>
        <w:spacing w:after="20" w:before="70"/>
      </w:pPr>
      <w:r>
        <w:rPr>
          <w:rFonts w:ascii="Arial" w:cs="Arial" w:eastAsia="Arial" w:hAnsi="Arial"/>
          <w:b/>
          <w:bCs/>
          <w:color w:val="0F3A5D"/>
          <w:sz w:val="20"/>
          <w:szCs w:val="20"/>
        </w:rPr>
        <w:t xml:space="preserve">7. Development of a Hydrokinetic Water Turbine Propeller for Small-Scale Fishing Vessels to Reduce Fossil Fuel Dependence</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Applied engineering paper proposing a hydrokinetic Voith Schneider Propeller design to harness water flow kinetic energy during navigation on small-scale vessels (&lt;5 GT), generating renewable electricity to reduce diesel fuel dependency and operational costs.</w:t>
      </w:r>
    </w:p>
    <w:p>
      <w:pPr>
        <w:spacing w:after="20" w:before="70"/>
      </w:pPr>
      <w:r>
        <w:rPr>
          <w:rFonts w:ascii="Arial" w:cs="Arial" w:eastAsia="Arial" w:hAnsi="Arial"/>
          <w:b/>
          <w:bCs/>
          <w:color w:val="0F3A5D"/>
          <w:sz w:val="20"/>
          <w:szCs w:val="20"/>
        </w:rPr>
        <w:t xml:space="preserve">8. Analysis of Vessel Gross Tonnage Impact on Fishermen Catch Yield at Tegal Coastal Fishing Port, Central Java</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Quantitative empirical study evaluating the correlation between fishing vessel gross tonnage (GT), trip duration, and total catch yield efficiency across fishing fleets operating out of Tegal Coastal Fishing Port.</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Greenhouse Gas Management Institute (GHGMI)</w:t>
      </w:r>
      <w:r>
        <w:rPr>
          <w:rFonts w:ascii="Arial" w:cs="Arial" w:eastAsia="Arial" w:hAnsi="Arial"/>
          <w:color w:val="0D9488"/>
          <w:sz w:val="18"/>
          <w:szCs w:val="18"/>
        </w:rPr>
        <w:t xml:space="preserve"> | Member (2024 - Present)</w:t>
      </w:r>
    </w:p>
    <w:p>
      <w:pPr>
        <w:spacing w:after="50" w:before="10"/>
        <w:jc w:val="both"/>
      </w:pPr>
      <w:r>
        <w:rPr>
          <w:rFonts w:ascii="Arial" w:cs="Arial" w:eastAsia="Arial" w:hAnsi="Arial"/>
          <w:color w:val="1E293B"/>
          <w:sz w:val="18"/>
          <w:szCs w:val="18"/>
        </w:rPr>
        <w:t xml:space="preserve">Professional member of A Society of Greenhouse Gas Professionals under the Greenhouse Gas Management Institute (GHGMI), upholding rigorous carbon accounting standards, ethical code of conduct, and robust MRV practices for climate change mitigation.</w:t>
      </w:r>
    </w:p>
    <w:p>
      <w:pPr>
        <w:spacing w:after="20" w:before="60"/>
      </w:pPr>
      <w:r>
        <w:rPr>
          <w:rFonts w:ascii="Arial" w:cs="Arial" w:eastAsia="Arial" w:hAnsi="Arial"/>
          <w:b/>
          <w:bCs/>
          <w:color w:val="0F3A5D"/>
          <w:sz w:val="20"/>
          <w:szCs w:val="20"/>
        </w:rPr>
        <w:t xml:space="preserve">2.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woby8eqag_nv-qh7h-y" Type="http://schemas.openxmlformats.org/officeDocument/2006/relationships/hyperlink" Target="https://linkedin.com/in/gmwijaya" TargetMode="External"/><Relationship Id="rIddbwffskypnp6qpk5vicn7" Type="http://schemas.openxmlformats.org/officeDocument/2006/relationships/hyperlink" Target="https://gedemahendraw.github.io/" TargetMode="External"/><Relationship Id="rId6j4xrsvhwyjdlgrobacvi"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2026-10-27T09:13:46.906Z</dcterms:created>
  <dcterms:modified xsi:type="dcterms:W3CDTF">2026-10-27T09:13:46.907Z</dcterms:modified>
</cp:coreProperties>
</file>

<file path=docProps/custom.xml><?xml version="1.0" encoding="utf-8"?>
<Properties xmlns="http://schemas.openxmlformats.org/officeDocument/2006/custom-properties" xmlns:vt="http://schemas.openxmlformats.org/officeDocument/2006/docPropsVTypes"/>
</file>