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40" w:before="0"/>
        <w:jc w:val="center"/>
      </w:pPr>
      <w:hyperlink w:history="1" r:id="rId51fynfycaxt_09arp6vmr">
        <w:r>
          <w:rPr>
            <w:rFonts w:ascii="Arial" w:cs="Arial" w:eastAsia="Arial" w:hAnsi="Arial"/>
            <w:color w:val="0D9488"/>
            <w:sz w:val="19"/>
            <w:szCs w:val="19"/>
            <w:u w:val="single"/>
          </w:rPr>
          <w:t xml:space="preserve">LinkedIn</w:t>
        </w:r>
      </w:hyperlink>
      <w:r>
        <w:rPr>
          <w:rFonts w:ascii="Arial" w:cs="Arial" w:eastAsia="Arial" w:hAnsi="Arial"/>
          <w:color w:val="64748B"/>
          <w:sz w:val="19"/>
          <w:szCs w:val="19"/>
        </w:rPr>
        <w:t xml:space="preserve">  |  </w:t>
      </w:r>
      <w:hyperlink w:history="1" r:id="rIdwgxw6aobpcm5fydvrjpzm">
        <w:r>
          <w:rPr>
            <w:rFonts w:ascii="Arial" w:cs="Arial" w:eastAsia="Arial" w:hAnsi="Arial"/>
            <w:color w:val="0D9488"/>
            <w:sz w:val="19"/>
            <w:szCs w:val="19"/>
            <w:u w:val="single"/>
          </w:rPr>
          <w:t xml:space="preserve">Project Portofolio</w:t>
        </w:r>
      </w:hyperlink>
      <w:r>
        <w:rPr>
          <w:rFonts w:ascii="Arial" w:cs="Arial" w:eastAsia="Arial" w:hAnsi="Arial"/>
          <w:color w:val="64748B"/>
          <w:sz w:val="19"/>
          <w:szCs w:val="19"/>
        </w:rPr>
        <w:t xml:space="preserve">  |  </w:t>
      </w:r>
      <w:hyperlink w:history="1" r:id="rIdh68v7sfebgqotvjvynrh3">
        <w:r>
          <w:rPr>
            <w:rFonts w:ascii="Arial" w:cs="Arial" w:eastAsia="Arial" w:hAnsi="Arial"/>
            <w:color w:val="0D9488"/>
            <w:sz w:val="19"/>
            <w:szCs w:val="19"/>
            <w:u w:val="single"/>
          </w:rPr>
          <w:t xml:space="preserve">ORCID: 0000-0003-2312-7031</w:t>
        </w:r>
      </w:hyperlink>
    </w:p>
    <w:p>
      <w:pPr>
        <w:spacing w:after="180" w:before="0"/>
        <w:jc w:val="center"/>
      </w:pPr>
      <w:r>
        <w:rPr>
          <w:rFonts w:ascii="Arial" w:cs="Arial" w:eastAsia="Arial" w:hAnsi="Arial"/>
          <w:color w:val="64748B"/>
          <w:sz w:val="18"/>
          <w:szCs w:val="18"/>
        </w:rPr>
        <w:t xml:space="preserve">Denpasar, Bali, Indonesia  |  Email: gedemahendrawijaya@gmail.com  |  Phone/WA: +62 812 9742 9227</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Senior Marine Environmental Specialist and Climate Mitigation Technical Lead with over 13 years of multidisciplinary experience pioneering integrated 'source-to-sink' (ridge-to-reef) environmental governance and high-integrity carbon mitigation across Indonesia. Uniquely bridges terrestrial forest concession areas, peatland hydrology, coastal blue carbon wetlands, and offshore marine ecosystems into unified landscape-seascape management frameworks. Formally trained in marine science and acoustics (IPB University), directing technical strategy, greenhouse gas (GHG) accounting, and project validation delivering high-quality, high-integrity carbon credits under the carbon unit registry system of Indonesia and premier international standards (Verra Verified Carbon Standard / VCS, Climate, Community &amp; Biodiversity / CCB Standards, Sustainable Development Verified Impact Standard / SD VISta, and Nature Framework). Technical portfolio encompasses &gt;200,000 hectares of peatland and wetland concessions in Papua, industrial waste decarbonization (Palm Oil Mill Effluent / POME methane capture &amp; biogas-to-energy), and national marine spatial planning. Proven track record managing multi-year programs with International Financial Institutions (IFIs) and United Nations (UN) agencies (World Bank, Asian Development Bank / ADB, Agence Française de Développement / AFD, Food and Agriculture Organization / FAO, and United Nations Development Programme / UNDP), as well as leading philanthropic foundations (Walton Family Foundation). Recognized with a National Innovation Award from the Business Innovation Center (BIC). Expertise spans Nature-based Solutions (NbS), robust Monitoring, Reporting, and Verification (MRV), Environmental and Social Impact Assessment (ESIA), and Free, Prior, and Informed Consent (FPIC) with indigenous customary communities.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3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 - </w:t>
      </w:r>
    </w:p>
    <w:p>
      <w:pPr>
        <w:pStyle w:val="ListParagraph"/>
        <w:numPr>
          <w:ilvl w:val="0"/>
          <w:numId w:val="1"/>
        </w:numPr>
        <w:spacing w:after="30" w:before="30"/>
      </w:pPr>
      <w:r>
        <w:rPr>
          <w:rFonts w:ascii="Arial" w:cs="Arial" w:eastAsia="Arial" w:hAnsi="Arial"/>
          <w:b/>
          <w:bCs/>
          <w:color w:val="0F3A5D"/>
          <w:sz w:val="20"/>
          <w:szCs w:val="20"/>
        </w:rPr>
        <w:t xml:space="preserve">29: </w:t>
      </w:r>
      <w:r>
        <w:rPr>
          <w:rFonts w:ascii="Arial" w:cs="Arial" w:eastAsia="Arial" w:hAnsi="Arial"/>
          <w:color w:val="1E293B"/>
          <w:sz w:val="20"/>
          <w:szCs w:val="20"/>
        </w:rPr>
        <w:t xml:space="preserve">Projects Completed - </w:t>
      </w:r>
    </w:p>
    <w:p>
      <w:pPr>
        <w:pStyle w:val="ListParagraph"/>
        <w:numPr>
          <w:ilvl w:val="0"/>
          <w:numId w:val="1"/>
        </w:numPr>
        <w:spacing w:after="30" w:before="3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 - </w:t>
      </w:r>
    </w:p>
    <w:p>
      <w:pPr>
        <w:pStyle w:val="ListParagraph"/>
        <w:numPr>
          <w:ilvl w:val="0"/>
          <w:numId w:val="1"/>
        </w:numPr>
        <w:spacing w:after="30" w:before="3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 - </w:t>
      </w:r>
    </w:p>
    <w:p>
      <w:pPr>
        <w:pBdr>
          <w:bottom w:val="single" w:color="0D9488" w:sz="12" w:space="4"/>
        </w:pBdr>
        <w:spacing w:after="80" w:before="280"/>
      </w:pPr>
      <w:r>
        <w:rPr>
          <w:rFonts w:ascii="Arial" w:cs="Arial" w:eastAsia="Arial" w:hAnsi="Arial"/>
          <w:b/>
          <w:bCs/>
          <w:color w:val="0F3A5D"/>
          <w:sz w:val="24"/>
          <w:szCs w:val="24"/>
        </w:rPr>
        <w:t xml:space="preserve">FORMAL EDUCATION &amp; ACADEMIC BACKGROUND</w:t>
      </w:r>
    </w:p>
    <w:p>
      <w:pPr>
        <w:spacing w:after="30" w:before="80"/>
      </w:pPr>
      <w:r>
        <w:rPr>
          <w:rFonts w:ascii="Arial" w:cs="Arial" w:eastAsia="Arial" w:hAnsi="Arial"/>
          <w:b/>
          <w:bCs/>
          <w:color w:val="0F3A5D"/>
          <w:sz w:val="21"/>
          <w:szCs w:val="21"/>
        </w:rPr>
        <w:t xml:space="preserve">1. Bachelor of Marine Science and Technology</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Bogor Agricultural University (IPB University), Indonesia (June 2008 - April 2013)</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30" w:before="80"/>
      </w:pPr>
      <w:r>
        <w:rPr>
          <w:rFonts w:ascii="Arial" w:cs="Arial" w:eastAsia="Arial" w:hAnsi="Arial"/>
          <w:b/>
          <w:bCs/>
          <w:color w:val="0F3A5D"/>
          <w:sz w:val="21"/>
          <w:szCs w:val="21"/>
        </w:rPr>
        <w:t xml:space="preserve">2. Diploma in Carbon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The Greenhouse Gas Management Institute (GHGMI) ((Ongoing))</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GHG accounting, carbon project management, baseline determination, and MRV frameworks.</w:t>
      </w:r>
    </w:p>
    <w:p>
      <w:pPr>
        <w:spacing w:after="30" w:before="80"/>
      </w:pPr>
      <w:r>
        <w:rPr>
          <w:rFonts w:ascii="Arial" w:cs="Arial" w:eastAsia="Arial" w:hAnsi="Arial"/>
          <w:b/>
          <w:bCs/>
          <w:color w:val="0F3A5D"/>
          <w:sz w:val="21"/>
          <w:szCs w:val="21"/>
        </w:rPr>
        <w:t xml:space="preserve">3. Diploma in Environmental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30" w:before="80"/>
      </w:pPr>
      <w:r>
        <w:rPr>
          <w:rFonts w:ascii="Arial" w:cs="Arial" w:eastAsia="Arial" w:hAnsi="Arial"/>
          <w:b/>
          <w:bCs/>
          <w:color w:val="0F3A5D"/>
          <w:sz w:val="21"/>
          <w:szCs w:val="21"/>
        </w:rPr>
        <w:t xml:space="preserve">4. Diploma in Occupational Health, Safety and Environment (OHSE)</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EXPERIENCE &amp; CAREER HISTORY</w:t>
      </w:r>
    </w:p>
    <w:p>
      <w:pPr>
        <w:spacing w:after="30" w:before="100"/>
      </w:pPr>
      <w:r>
        <w:rPr>
          <w:rFonts w:ascii="Arial" w:cs="Arial" w:eastAsia="Arial" w:hAnsi="Arial"/>
          <w:b/>
          <w:bCs/>
          <w:color w:val="0F3A5D"/>
          <w:sz w:val="21"/>
          <w:szCs w:val="21"/>
        </w:rPr>
        <w:t xml:space="preserve">1. Head of Technical Workstream</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June 2026 - Present</w:t>
      </w:r>
    </w:p>
    <w:p>
      <w:pPr>
        <w:spacing w:after="80" w:before="20"/>
      </w:pPr>
      <w:r>
        <w:rPr>
          <w:rFonts w:ascii="Arial" w:cs="Arial" w:eastAsia="Arial" w:hAnsi="Arial"/>
          <w:color w:val="1E293B"/>
          <w:sz w:val="19"/>
          <w:szCs w:val="19"/>
        </w:rPr>
        <w:t xml:space="preserve">Dedicated to delivering and contributing to high-quality and high-integrity carbon credits and nature-based climate solutions based on Nature-based Solutions (NbS), the Agriculture, Forestry, and Other Land Use (AFOLU) ecosystem restoration, and robust Monitoring, Reporting, and Verification (MRV) frameworks. Directing technical strategy, greenhouse gas (GHG) accounting, and project validation aligned with Core Carbon Principles (CCPs) of the Integrity Council for the Voluntary Carbon Market (ICVCM) and Paris Agreement Article 6 mechanisms (Articles 6.2 and 6.4 for Internationally Transferred Mitigation Outcomes / ITMOs and authorized carbon crediting). Managing technical compliance across peatland, wetland, and forest concession areas (&gt;200,000 ha) in Papua under the carbon unit registry system of Indonesia, Verra Verified Carbon Standard (VCS), Climate, Community &amp; Biodiversity (CCB) Standards, Sustainable Development Verified Impact Standard (SD VISta), and Nature Framework to ensure additionality, permanence, and verifiable ecological integrity.</w:t>
      </w:r>
    </w:p>
    <w:p>
      <w:pPr>
        <w:spacing w:after="30" w:before="100"/>
      </w:pPr>
      <w:r>
        <w:rPr>
          <w:rFonts w:ascii="Arial" w:cs="Arial" w:eastAsia="Arial" w:hAnsi="Arial"/>
          <w:b/>
          <w:bCs/>
          <w:color w:val="0F3A5D"/>
          <w:sz w:val="21"/>
          <w:szCs w:val="21"/>
        </w:rPr>
        <w:t xml:space="preserve">2. Project Manager</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February 2023 - June 2026</w:t>
      </w:r>
    </w:p>
    <w:p>
      <w:pPr>
        <w:spacing w:after="80" w:before="20"/>
      </w:pPr>
      <w:r>
        <w:rPr>
          <w:rFonts w:ascii="Arial" w:cs="Arial" w:eastAsia="Arial" w:hAnsi="Arial"/>
          <w:color w:val="1E293B"/>
          <w:sz w:val="19"/>
          <w:szCs w:val="19"/>
        </w:rPr>
        <w:t xml:space="preserve">Contributed to and managed terrestrial, peatland, and coastal wetland carbon project operations (&gt;200,000 ha) in West Papua and Southwest Papua. Led multidisciplinary field teams executing ecological baselines, High Carbon Stock Approach (HCSA), High Conservation Value (HCV), and ground-based carbon stock accounting (SNI 7724). Designed and facilitated Free, Prior, and Informed Consent (FPIC) with local customary communities to establish inclusive benefit-sharing frameworks. Directed regulatory licensing with the Ministry of Environment and Forestry (MoEF) and Ministry of Marine Affairs and Fisheries (MMAF), formulating Environmental and Social Management Plans (ESMP) and establishing rigorous Monitoring, Reporting, and Verification (MRV) systems.</w:t>
      </w:r>
    </w:p>
    <w:p>
      <w:pPr>
        <w:spacing w:after="30" w:before="100"/>
      </w:pPr>
      <w:r>
        <w:rPr>
          <w:rFonts w:ascii="Arial" w:cs="Arial" w:eastAsia="Arial" w:hAnsi="Arial"/>
          <w:b/>
          <w:bCs/>
          <w:color w:val="0F3A5D"/>
          <w:sz w:val="21"/>
          <w:szCs w:val="21"/>
        </w:rPr>
        <w:t xml:space="preserve">3. Deputy Unit Leader - Marine and Coastal Development Unit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January 2022 - February 2023</w:t>
      </w:r>
    </w:p>
    <w:p>
      <w:pPr>
        <w:spacing w:after="80" w:before="20"/>
      </w:pPr>
      <w:r>
        <w:rPr>
          <w:rFonts w:ascii="Arial" w:cs="Arial" w:eastAsia="Arial" w:hAnsi="Arial"/>
          <w:color w:val="1E293B"/>
          <w:sz w:val="19"/>
          <w:szCs w:val="19"/>
        </w:rPr>
        <w:t xml:space="preserve">Promoted to Deputy Unit Leader in 2022. Contributed to multi-year marine and coastal projects funded by International Financial Institutions (IFIs) and United Nations (UN) agencies including the World Bank, Asian Development Bank (ADB), Agence Française de Développement (AFD), and Food and Agriculture Organization (FAO), delivering ecological baseline assessments and spatial governance. Co-led the strategic, operational, and financial management of the Business Unit, directing business planning, commercial proposals, and multi-disciplinary teams across marine conservation, fisheries governance, and environmental safeguards. Enforced corporate compliance with ISO 9001, ISO 14001, and ISO 45001 standards across all project operations.</w:t>
      </w:r>
    </w:p>
    <w:p>
      <w:pPr>
        <w:spacing w:after="30" w:before="100"/>
      </w:pPr>
      <w:r>
        <w:rPr>
          <w:rFonts w:ascii="Arial" w:cs="Arial" w:eastAsia="Arial" w:hAnsi="Arial"/>
          <w:b/>
          <w:bCs/>
          <w:color w:val="0F3A5D"/>
          <w:sz w:val="21"/>
          <w:szCs w:val="21"/>
        </w:rPr>
        <w:t xml:space="preserve">4. Marine Environmental Specialist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June 2016 - December 2021</w:t>
      </w:r>
    </w:p>
    <w:p>
      <w:pPr>
        <w:spacing w:after="80" w:before="20"/>
      </w:pPr>
      <w:r>
        <w:rPr>
          <w:rFonts w:ascii="Arial" w:cs="Arial" w:eastAsia="Arial" w:hAnsi="Arial"/>
          <w:color w:val="1E293B"/>
          <w:sz w:val="19"/>
          <w:szCs w:val="19"/>
        </w:rPr>
        <w:t xml:space="preserve">Served as technical specialist contributing to marine ecology, oceanographic baseline assessments, fisheries resource management, and environmental and social compliance (ESIA). Contributed to multi-year initiatives including fisheries and aquaculture programs supported by the Walton Family Foundation. Designed and executed comprehensive marine surveys (water quality, benthic communities, coral reef health, pelagic fish acoustics), formulated Environmental and Social Management Plans (ESMP), and advanced digital fisheries monitoring (satellite Vessel Monitoring Systems / VMS with Inmarsat and UK Space Agency). Delivered high-impact technical reports and policy recommendations for the World Bank, Asian Development Bank (ADB), Agence Française de Développement (AFD), Food and Agriculture Organization (FAO), and Ministry of Marine Affairs and Fisheries (MMAF).</w:t>
      </w:r>
    </w:p>
    <w:p>
      <w:pPr>
        <w:spacing w:after="30" w:before="100"/>
      </w:pPr>
      <w:r>
        <w:rPr>
          <w:rFonts w:ascii="Arial" w:cs="Arial" w:eastAsia="Arial" w:hAnsi="Arial"/>
          <w:b/>
          <w:bCs/>
          <w:color w:val="0F3A5D"/>
          <w:sz w:val="21"/>
          <w:szCs w:val="21"/>
        </w:rPr>
        <w:t xml:space="preserve">5. Assistant Project Director</w:t>
      </w:r>
      <w:r>
        <w:rPr>
          <w:rFonts w:ascii="Arial" w:cs="Arial" w:eastAsia="Arial" w:hAnsi="Arial"/>
          <w:b/>
          <w:bCs/>
          <w:color w:val="0D9488"/>
          <w:sz w:val="20"/>
          <w:szCs w:val="20"/>
        </w:rPr>
        <w:t xml:space="preserve">  |  Nusa Dua Reef Foundation</w:t>
      </w:r>
    </w:p>
    <w:p>
      <w:pPr>
        <w:spacing w:after="40" w:before="20"/>
      </w:pPr>
      <w:r>
        <w:rPr>
          <w:rFonts w:ascii="Arial" w:cs="Arial" w:eastAsia="Arial" w:hAnsi="Arial"/>
          <w:i/>
          <w:iCs/>
          <w:color w:val="64748B"/>
          <w:sz w:val="18"/>
          <w:szCs w:val="18"/>
        </w:rPr>
        <w:t xml:space="preserve">Bali, Indonesia  |  April 2016 - June 2016</w:t>
      </w:r>
    </w:p>
    <w:p>
      <w:pPr>
        <w:spacing w:after="80" w:before="2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(Ministry of Marine Affairs and Fisheries / MMAF, Bali Marine Affairs Agency), tourism operators (Indonesia Tourism Development Corporation / ITDC), local customary villages (Desa Adat), and dive operators. Managed educational outreach, conservation awareness campaigns, and community stewardship programs for coastal sustainability.</w:t>
      </w:r>
    </w:p>
    <w:p>
      <w:pPr>
        <w:spacing w:after="30" w:before="100"/>
      </w:pPr>
      <w:r>
        <w:rPr>
          <w:rFonts w:ascii="Arial" w:cs="Arial" w:eastAsia="Arial" w:hAnsi="Arial"/>
          <w:b/>
          <w:bCs/>
          <w:color w:val="0F3A5D"/>
          <w:sz w:val="21"/>
          <w:szCs w:val="21"/>
        </w:rPr>
        <w:t xml:space="preserve">6. Marine Mammal Observer</w:t>
      </w:r>
      <w:r>
        <w:rPr>
          <w:rFonts w:ascii="Arial" w:cs="Arial" w:eastAsia="Arial" w:hAnsi="Arial"/>
          <w:b/>
          <w:bCs/>
          <w:color w:val="0D9488"/>
          <w:sz w:val="20"/>
          <w:szCs w:val="20"/>
        </w:rPr>
        <w:t xml:space="preserve">  |  PT Quest Geophysical Asia - West Papua Project</w:t>
      </w:r>
    </w:p>
    <w:p>
      <w:pPr>
        <w:spacing w:after="40" w:before="20"/>
      </w:pPr>
      <w:r>
        <w:rPr>
          <w:rFonts w:ascii="Arial" w:cs="Arial" w:eastAsia="Arial" w:hAnsi="Arial"/>
          <w:i/>
          <w:iCs/>
          <w:color w:val="64748B"/>
          <w:sz w:val="18"/>
          <w:szCs w:val="18"/>
        </w:rPr>
        <w:t xml:space="preserve">Arguni Bay, West Papua  |  January 2015 - August 2015</w:t>
      </w:r>
    </w:p>
    <w:p>
      <w:pPr>
        <w:spacing w:after="80" w:before="20"/>
      </w:pPr>
      <w:r>
        <w:rPr>
          <w:rFonts w:ascii="Arial" w:cs="Arial" w:eastAsia="Arial" w:hAnsi="Arial"/>
          <w:color w:val="1E293B"/>
          <w:sz w:val="19"/>
          <w:szCs w:val="19"/>
        </w:rPr>
        <w:t xml:space="preserve">Led Health, Safety, and Environment (HSE) protocols and Joint Nature Conservation Committee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30" w:before="100"/>
      </w:pPr>
      <w:r>
        <w:rPr>
          <w:rFonts w:ascii="Arial" w:cs="Arial" w:eastAsia="Arial" w:hAnsi="Arial"/>
          <w:b/>
          <w:bCs/>
          <w:color w:val="0F3A5D"/>
          <w:sz w:val="21"/>
          <w:szCs w:val="21"/>
        </w:rPr>
        <w:t xml:space="preserve">7. Marine Research Assistant</w:t>
      </w:r>
      <w:r>
        <w:rPr>
          <w:rFonts w:ascii="Arial" w:cs="Arial" w:eastAsia="Arial" w:hAnsi="Arial"/>
          <w:b/>
          <w:bCs/>
          <w:color w:val="0D9488"/>
          <w:sz w:val="20"/>
          <w:szCs w:val="20"/>
        </w:rPr>
        <w:t xml:space="preserve">  |  Marine Science &amp; Technology Dept, IPB University</w:t>
      </w:r>
    </w:p>
    <w:p>
      <w:pPr>
        <w:spacing w:after="40" w:before="20"/>
      </w:pPr>
      <w:r>
        <w:rPr>
          <w:rFonts w:ascii="Arial" w:cs="Arial" w:eastAsia="Arial" w:hAnsi="Arial"/>
          <w:i/>
          <w:iCs/>
          <w:color w:val="64748B"/>
          <w:sz w:val="18"/>
          <w:szCs w:val="18"/>
        </w:rPr>
        <w:t xml:space="preserve">Bogor, Indonesia  |  2012 - 2014</w:t>
      </w:r>
    </w:p>
    <w:p>
      <w:pPr>
        <w:spacing w:after="80" w:before="20"/>
      </w:pPr>
      <w:r>
        <w:rPr>
          <w:rFonts w:ascii="Arial" w:cs="Arial" w:eastAsia="Arial" w:hAnsi="Arial"/>
          <w:color w:val="1E293B"/>
          <w:sz w:val="19"/>
          <w:szCs w:val="19"/>
        </w:rPr>
        <w:t xml:space="preserve">Conducted academic and applied research in underwater bioacoustics, marine acoustic telemetry, satellite remote sensing, Geographic Information Systems (GIS) spatial modeling, and physical oceanography. Operated scientific echo sounders, hydrophones, and Conductivity, Temperature, and Depth (CTD) oceanographic probes. Supported national research grants funded by the Ministry of Education and Culture (Kemendikbud), co-authoring peer-reviewed scientific publications on marine bioacoustics, oil spill detection using Advanced Land Observing Satellite Phased Array type L-band Synthetic Aperture Radar (ALOS PALSAR)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PROJECTS &amp; TECHNICAL DELIVERABLES (29 PROJECTS)</w:t>
      </w:r>
    </w:p>
    <w:p>
      <w:pPr>
        <w:spacing w:after="20" w:before="80"/>
      </w:pPr>
      <w:r>
        <w:rPr>
          <w:rFonts w:ascii="Arial" w:cs="Arial" w:eastAsia="Arial" w:hAnsi="Arial"/>
          <w:b/>
          <w:bCs/>
          <w:color w:val="0F3A5D"/>
          <w:sz w:val="20"/>
          <w:szCs w:val="20"/>
        </w:rPr>
        <w:t xml:space="preserve">1. Pre-Socialization Report &amp; Stakeholder Analysis for Forest Carbon Licensing</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Salawati Hijau Lestari (SHL)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 August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 Carbon Scoping Study &amp; Feasibility Assessment for Forest Concessions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SHL &amp; PT Sorong Hijau Ekosistem (SHE)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 June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3. High Carbon Stock Approach (HCSA) &amp; High Conservation Value (HCV) Assessments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APRIL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4. Strategic Environmental and Social Assessment (SESA) for Energy Transition Mechanism (ETM)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Asian Development Bank (ADB)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5. Establishment of Marine Protected Area (MPA) in Kolepom Island</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ATSEA-2 Program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November 2021 -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6. Fisheries Management &amp; Coastal Community Livelihoods (LAUTRA Phase 1)</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7. Pre-Feasibility Study on Management and Retrieval of ALDFG and Aquaculture Plastics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Poseidon Aquatic Resource Management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2020 - August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8. Coastal Fisheries Initiative Challenge Fund (CFI-CF) Business Incubation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GEF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9. Transboundary Diagnostic Analysis for Indonesian Seas Large Marine Ecosystem (TDA ISLME)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Food and Agriculture Organization (FAO)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10. Outer Ring Fishing Ports Development Project (Eco-Fishing Ports) ESIA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2021 - October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11. Benefit Story Development for IPP Low-Cost Technology Pilot Project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MMAF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2021 -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12. Satellite Vessel Monitoring System (VMS) Implementation &amp; Migration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UK Space Agency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13. Web-Based Geofencing Application Development for Marine Protected Areas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2017 -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14. Independent Environmental &amp; Social Due Diligence (Block 3 CCPP Tambak Lorok)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Indonesia Power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November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15. Operational and Scientific Monitoring Plan (OSMP) for Offshore Drilling Campaign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MCC Environmental (Australia)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2021 -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16. Patimban Deep-Sea Port Construction Marine Environmental Monitoring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Penta Ocean Construction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July 2018 - August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17. Vocational Shrimp Aquaculture Curriculum &amp; Digital Quality Control Solution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2019 -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18. Human-Centered Design (HCD) for Smart Aquaculture 4.0 IoT Platform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January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19. Comprehensive Assessment of Octopus Fishery, Supply Chain &amp; International Trade Flow</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20. Tongkol (Eastern Little Tuna) Supply Chain, Market Dynamics &amp; Post-Harvest Losses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21. Scientific Assessment of Marine Mammal Interactions with Commercial Fisheries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Conservation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22. Strategic Tuna Fisheries Investment Roadmap for Walton Family Foundation (WFF)</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23. Rapid Scoping Study on High-Growth Investment Opportunities in Indonesian Aquaculture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Aquaculture Development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24. Sectoral Review of Indonesian Tuna Purse Seine Fisheries for FIP &amp; MSC Readiness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FIP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25. Environmental and Social Impact Assessment (ESIA) for Kendari Eco-Fishing Port Modernization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26. Socio-Economic Baseline, Gender Action Plan &amp; Stakeholder Impact Analysis for PPS Cilacap</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27. Zoning Document and Spatial Management Plan for Kolepom Island Marine Protected Area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28. Sustainable Tuna Fisheries Management Based on Acoustic Measurement, Length-Based Assessment, and FAD Management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Nature Conservancy (TNC)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December 2017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29. Marine Mammal Monitoring and Mitigation Plan for 3D Marine Seismic Acquisition in Mentawai Block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Total E&amp;P Indonesie Mentawai B.V. / PPLH IPB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2015 - January 2016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Environmental Assessment &amp; Safeguards</w:t>
      </w:r>
    </w:p>
    <w:p>
      <w:pPr>
        <w:spacing w:after="70" w:before="20"/>
      </w:pPr>
      <w:r>
        <w:rPr>
          <w:rFonts w:ascii="Arial" w:cs="Arial" w:eastAsia="Arial" w:hAnsi="Arial"/>
          <w:color w:val="1E293B"/>
          <w:sz w:val="19"/>
          <w:szCs w:val="19"/>
        </w:rPr>
      </w:r>
    </w:p>
    <w:p>
      <w:pPr>
        <w:pBdr>
          <w:bottom w:val="single" w:color="0D9488" w:sz="12" w:space="4"/>
        </w:pBdr>
        <w:spacing w:after="80" w:before="280"/>
      </w:pPr>
      <w:r>
        <w:rPr>
          <w:rFonts w:ascii="Arial" w:cs="Arial" w:eastAsia="Arial" w:hAnsi="Arial"/>
          <w:b/>
          <w:bCs/>
          <w:color w:val="0F3A5D"/>
          <w:sz w:val="24"/>
          <w:szCs w:val="24"/>
        </w:rPr>
        <w:t xml:space="preserve">PEER-REVIEWED PUBLICATIONS &amp; PAPERS (5 PUBLICATIONS)</w:t>
      </w:r>
    </w:p>
    <w:p>
      <w:pPr>
        <w:spacing w:after="20" w:before="70"/>
      </w:pPr>
      <w:r>
        <w:rPr>
          <w:rFonts w:ascii="Arial" w:cs="Arial" w:eastAsia="Arial" w:hAnsi="Arial"/>
          <w:b/>
          <w:bCs/>
          <w:color w:val="0F3A5D"/>
          <w:sz w:val="20"/>
          <w:szCs w:val="20"/>
        </w:rPr>
        <w:t xml:space="preserve">1. Marine Mammals Interactions with Tuna Fishing Activities in Indonesian Seas</w:t>
      </w:r>
    </w:p>
    <w:p>
      <w:pPr>
        <w:spacing w:after="60" w:before="10"/>
      </w:pPr>
      <w:r>
        <w:rPr>
          <w:rFonts w:ascii="Arial" w:cs="Arial" w:eastAsia="Arial" w:hAnsi="Arial"/>
          <w:color w:val="1E293B"/>
          <w:sz w:val="18"/>
          <w:szCs w:val="18"/>
        </w:rPr>
        <w:t xml:space="preserve">undefined (2019). </w:t>
      </w:r>
      <w:r>
        <w:rPr>
          <w:rFonts w:ascii="Arial" w:cs="Arial" w:eastAsia="Arial" w:hAnsi="Arial"/>
          <w:i/>
          <w:iCs/>
          <w:color w:val="64748B"/>
          <w:sz w:val="18"/>
          <w:szCs w:val="18"/>
        </w:rPr>
        <w:t xml:space="preserve">International Seminar on Natural Resources and Environmental Management. </w:t>
      </w:r>
      <w:r>
        <w:rPr>
          <w:rFonts w:ascii="Arial" w:cs="Arial" w:eastAsia="Arial" w:hAnsi="Arial"/>
          <w:color w:val="0D9488"/>
          <w:sz w:val="18"/>
          <w:szCs w:val="18"/>
        </w:rPr>
        <w:t xml:space="preserve">DOI/Link: https://doi.org/10.1088/1755-1315/399/1/012128</w:t>
      </w:r>
    </w:p>
    <w:p>
      <w:pPr>
        <w:spacing w:after="20" w:before="7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60" w:before="10"/>
      </w:pPr>
      <w:r>
        <w:rPr>
          <w:rFonts w:ascii="Arial" w:cs="Arial" w:eastAsia="Arial" w:hAnsi="Arial"/>
          <w:color w:val="1E293B"/>
          <w:sz w:val="18"/>
          <w:szCs w:val="18"/>
        </w:rPr>
        <w:t xml:space="preserve">undefined (2016). </w:t>
      </w:r>
      <w:r>
        <w:rPr>
          <w:rFonts w:ascii="Arial" w:cs="Arial" w:eastAsia="Arial" w:hAnsi="Arial"/>
          <w:i/>
          <w:iCs/>
          <w:color w:val="64748B"/>
          <w:sz w:val="18"/>
          <w:szCs w:val="18"/>
        </w:rPr>
        <w:t xml:space="preserve">Current Status and Conservation, Part 2, Vol 73, AMB, UK: Academic Press, pp. 219-271. </w:t>
      </w:r>
      <w:r>
        <w:rPr>
          <w:rFonts w:ascii="Arial" w:cs="Arial" w:eastAsia="Arial" w:hAnsi="Arial"/>
          <w:color w:val="0D9488"/>
          <w:sz w:val="18"/>
          <w:szCs w:val="18"/>
        </w:rPr>
        <w:t xml:space="preserve">DOI/Link: https://doi.org/10.1016/bs.amb.2015.08.003</w:t>
      </w:r>
    </w:p>
    <w:p>
      <w:pPr>
        <w:spacing w:after="20" w:before="70"/>
      </w:pPr>
      <w:r>
        <w:rPr>
          <w:rFonts w:ascii="Arial" w:cs="Arial" w:eastAsia="Arial" w:hAnsi="Arial"/>
          <w:b/>
          <w:bCs/>
          <w:color w:val="0F3A5D"/>
          <w:sz w:val="20"/>
          <w:szCs w:val="20"/>
        </w:rPr>
        <w:t xml:space="preserve">3. Application of Radon Transform Method for 2D Seismic Multiple Wave Reduction in West Sumatra Waters</w:t>
      </w:r>
    </w:p>
    <w:p>
      <w:pPr>
        <w:spacing w:after="60" w:before="10"/>
      </w:pPr>
      <w:r>
        <w:rPr>
          <w:rFonts w:ascii="Arial" w:cs="Arial" w:eastAsia="Arial" w:hAnsi="Arial"/>
          <w:color w:val="1E293B"/>
          <w:sz w:val="18"/>
          <w:szCs w:val="18"/>
        </w:rPr>
        <w:t xml:space="preserve">undefined (2013). </w:t>
      </w:r>
      <w:r>
        <w:rPr>
          <w:rFonts w:ascii="Arial" w:cs="Arial" w:eastAsia="Arial" w:hAnsi="Arial"/>
          <w:i/>
          <w:iCs/>
          <w:color w:val="64748B"/>
          <w:sz w:val="18"/>
          <w:szCs w:val="18"/>
        </w:rPr>
        <w:t xml:space="preserve">IPB University Scientific Repository - Undergraduate Thesis (Advisor: Prof. Dr. Henry M. Manik). </w:t>
      </w:r>
      <w:r>
        <w:rPr>
          <w:rFonts w:ascii="Arial" w:cs="Arial" w:eastAsia="Arial" w:hAnsi="Arial"/>
          <w:color w:val="0D9488"/>
          <w:sz w:val="18"/>
          <w:szCs w:val="18"/>
        </w:rPr>
        <w:t xml:space="preserve">DOI/Link: https://repository.ipb.ac.id/handle/123456789/63281</w:t>
      </w:r>
    </w:p>
    <w:p>
      <w:pPr>
        <w:spacing w:after="20" w:before="70"/>
      </w:pPr>
      <w:r>
        <w:rPr>
          <w:rFonts w:ascii="Arial" w:cs="Arial" w:eastAsia="Arial" w:hAnsi="Arial"/>
          <w:b/>
          <w:bCs/>
          <w:color w:val="0F3A5D"/>
          <w:sz w:val="20"/>
          <w:szCs w:val="20"/>
        </w:rPr>
        <w:t xml:space="preserve">4. Sound of Fish Affects Fish Productivity</w:t>
      </w:r>
    </w:p>
    <w:p>
      <w:pPr>
        <w:spacing w:after="60" w:before="10"/>
      </w:pPr>
      <w:r>
        <w:rPr>
          <w:rFonts w:ascii="Arial" w:cs="Arial" w:eastAsia="Arial" w:hAnsi="Arial"/>
          <w:color w:val="1E293B"/>
          <w:sz w:val="18"/>
          <w:szCs w:val="18"/>
        </w:rPr>
        <w:t xml:space="preserve">undefined (2012). </w:t>
      </w:r>
      <w:r>
        <w:rPr>
          <w:rFonts w:ascii="Arial" w:cs="Arial" w:eastAsia="Arial" w:hAnsi="Arial"/>
          <w:i/>
          <w:iCs/>
          <w:color w:val="64748B"/>
          <w:sz w:val="18"/>
          <w:szCs w:val="18"/>
        </w:rPr>
        <w:t xml:space="preserve">Research Innovation Award - Business Innovation Center (BIC), Indonesia. </w:t>
      </w:r>
      <w:r>
        <w:rPr>
          <w:rFonts w:ascii="Arial" w:cs="Arial" w:eastAsia="Arial" w:hAnsi="Arial"/>
          <w:color w:val="0D9488"/>
          <w:sz w:val="18"/>
          <w:szCs w:val="18"/>
        </w:rPr>
        <w:t xml:space="preserve">DOI/Link: https://www.antaranews.com/berita/342159/mahasiswa-ipb-temukan-cara-deteksi-produktivitas-ikan</w:t>
      </w:r>
    </w:p>
    <w:p>
      <w:pPr>
        <w:spacing w:after="20" w:before="7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60" w:before="10"/>
      </w:pPr>
      <w:r>
        <w:rPr>
          <w:rFonts w:ascii="Arial" w:cs="Arial" w:eastAsia="Arial" w:hAnsi="Arial"/>
          <w:color w:val="1E293B"/>
          <w:sz w:val="18"/>
          <w:szCs w:val="18"/>
        </w:rPr>
        <w:t xml:space="preserve">undefined (2012). </w:t>
      </w:r>
      <w:r>
        <w:rPr>
          <w:rFonts w:ascii="Arial" w:cs="Arial" w:eastAsia="Arial" w:hAnsi="Arial"/>
          <w:i/>
          <w:iCs/>
          <w:color w:val="64748B"/>
          <w:sz w:val="18"/>
          <w:szCs w:val="18"/>
        </w:rPr>
        <w:t xml:space="preserve">Marine Science and Technology Dept., Bogor Agriculture University Journal. </w:t>
      </w:r>
      <w:r>
        <w:rPr>
          <w:rFonts w:ascii="Arial" w:cs="Arial" w:eastAsia="Arial" w:hAnsi="Arial"/>
          <w:color w:val="0D9488"/>
          <w:sz w:val="18"/>
          <w:szCs w:val="18"/>
        </w:rPr>
        <w:t xml:space="preserve">DOI/Link: https://repository.ipb.ac.id</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(72 CREDENTIALS)</w:t>
      </w:r>
    </w:p>
    <w:p>
      <w:pPr>
        <w:pStyle w:val="ListParagraph"/>
        <w:numPr>
          <w:ilvl w:val="0"/>
          <w:numId w:val="1"/>
        </w:numPr>
        <w:spacing w:after="20" w:before="40"/>
      </w:pPr>
      <w:r>
        <w:rPr>
          <w:rFonts w:ascii="Arial" w:cs="Arial" w:eastAsia="Arial" w:hAnsi="Arial"/>
          <w:b/>
          <w:bCs/>
          <w:color w:val="0F3A5D"/>
          <w:sz w:val="19"/>
          <w:szCs w:val="19"/>
        </w:rPr>
        <w:t xml:space="preserve">Operationalizing Article 6.2 of the Paris Agreement: Achieving Ambitious Climate Action Through Cooperative Approaches </w:t>
      </w:r>
      <w:r>
        <w:rPr>
          <w:rFonts w:ascii="Arial" w:cs="Arial" w:eastAsia="Arial" w:hAnsi="Arial"/>
          <w:color w:val="64748B"/>
          <w:sz w:val="18"/>
          <w:szCs w:val="18"/>
        </w:rPr>
        <w:t xml:space="preserve">— United Nations Development Programme (UNDP), UNFCCC &amp; Learning for Nature (Oct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Building Skills for Coastal Restoration with Nature and People </w:t>
      </w:r>
      <w:r>
        <w:rPr>
          <w:rFonts w:ascii="Arial" w:cs="Arial" w:eastAsia="Arial" w:hAnsi="Arial"/>
          <w:color w:val="64748B"/>
          <w:sz w:val="18"/>
          <w:szCs w:val="18"/>
        </w:rPr>
        <w:t xml:space="preserve">— UNESCO/IOC OceanTeacher Global Academy (OTGA) &amp; A-AAGORA Project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Biodiversity Credits (Learning Journey) </w:t>
      </w:r>
      <w:r>
        <w:rPr>
          <w:rFonts w:ascii="Arial" w:cs="Arial" w:eastAsia="Arial" w:hAnsi="Arial"/>
          <w:color w:val="64748B"/>
          <w:sz w:val="18"/>
          <w:szCs w:val="18"/>
        </w:rPr>
        <w:t xml:space="preserve">— Biodiversity Credit Alliance (BCA), Nature for Life Hub &amp; University of Nottingham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Finance Transparency </w:t>
      </w:r>
      <w:r>
        <w:rPr>
          <w:rFonts w:ascii="Arial" w:cs="Arial" w:eastAsia="Arial" w:hAnsi="Arial"/>
          <w:color w:val="64748B"/>
          <w:sz w:val="18"/>
          <w:szCs w:val="18"/>
        </w:rPr>
        <w:t xml:space="preserve">— Initiative for Climate Action Transparency (ICAT)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Biodiversity Finance: Designing and Implementing Finance Plans for Nature </w:t>
      </w:r>
      <w:r>
        <w:rPr>
          <w:rFonts w:ascii="Arial" w:cs="Arial" w:eastAsia="Arial" w:hAnsi="Arial"/>
          <w:color w:val="64748B"/>
          <w:sz w:val="18"/>
          <w:szCs w:val="18"/>
        </w:rPr>
        <w:t xml:space="preserve">— UNDP Biodiversity Finance Initiative (BIOFIN)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ICAT Training on the Use of the IPCC Inventory Software </w:t>
      </w:r>
      <w:r>
        <w:rPr>
          <w:rFonts w:ascii="Arial" w:cs="Arial" w:eastAsia="Arial" w:hAnsi="Arial"/>
          <w:color w:val="64748B"/>
          <w:sz w:val="18"/>
          <w:szCs w:val="18"/>
        </w:rPr>
        <w:t xml:space="preserve">— Initiative for Climate Action Transparency (ICAT), IPCC TSU &amp; UNDP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Source-to-Sea (S2S) Management Course </w:t>
      </w:r>
      <w:r>
        <w:rPr>
          <w:rFonts w:ascii="Arial" w:cs="Arial" w:eastAsia="Arial" w:hAnsi="Arial"/>
          <w:color w:val="64748B"/>
          <w:sz w:val="18"/>
          <w:szCs w:val="18"/>
        </w:rPr>
        <w:t xml:space="preserve">— Cap-Net UNDP, SIWI &amp; Action Platform for Source-to-Sea Management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REDD+ Academy: Forest Carbon &amp; National Strategy Capacity Building </w:t>
      </w:r>
      <w:r>
        <w:rPr>
          <w:rFonts w:ascii="Arial" w:cs="Arial" w:eastAsia="Arial" w:hAnsi="Arial"/>
          <w:color w:val="64748B"/>
          <w:sz w:val="18"/>
          <w:szCs w:val="18"/>
        </w:rPr>
        <w:t xml:space="preserve">— UN-REDD Programme (FAO, UNDP, UNEP)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Occupational Health, Safety and Environment (OHSE) </w:t>
      </w:r>
      <w:r>
        <w:rPr>
          <w:rFonts w:ascii="Arial" w:cs="Arial" w:eastAsia="Arial" w:hAnsi="Arial"/>
          <w:color w:val="64748B"/>
          <w:sz w:val="18"/>
          <w:szCs w:val="18"/>
        </w:rPr>
        <w:t xml:space="preserve">—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Environmental Management </w:t>
      </w:r>
      <w:r>
        <w:rPr>
          <w:rFonts w:ascii="Arial" w:cs="Arial" w:eastAsia="Arial" w:hAnsi="Arial"/>
          <w:color w:val="64748B"/>
          <w:sz w:val="18"/>
          <w:szCs w:val="18"/>
        </w:rPr>
        <w:t xml:space="preserve">—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Article 6 Decision-Making: Training for Practitioners </w:t>
      </w:r>
      <w:r>
        <w:rPr>
          <w:rFonts w:ascii="Arial" w:cs="Arial" w:eastAsia="Arial" w:hAnsi="Arial"/>
          <w:color w:val="64748B"/>
          <w:sz w:val="18"/>
          <w:szCs w:val="18"/>
        </w:rPr>
        <w:t xml:space="preserve">— Paris Agreement Article 6 Implementation Partnership (A6IP) Center, Perspectives Climate Research &amp; GHGMI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201 Basics of Organizational GHG Accounting (Certificate of Proficiency) </w:t>
      </w:r>
      <w:r>
        <w:rPr>
          <w:rFonts w:ascii="Arial" w:cs="Arial" w:eastAsia="Arial" w:hAnsi="Arial"/>
          <w:color w:val="64748B"/>
          <w:sz w:val="18"/>
          <w:szCs w:val="18"/>
        </w:rPr>
        <w:t xml:space="preserve">— The Greenhouse Gas Management Institute (GHGMI)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IWRM for Climate Resilience (20-Hour Training Course) </w:t>
      </w:r>
      <w:r>
        <w:rPr>
          <w:rFonts w:ascii="Arial" w:cs="Arial" w:eastAsia="Arial" w:hAnsi="Arial"/>
          <w:color w:val="64748B"/>
          <w:sz w:val="18"/>
          <w:szCs w:val="18"/>
        </w:rPr>
        <w:t xml:space="preserve">— Cap-Net UNDP &amp; UNEP-DHI Centre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The German Supply Chain Due Diligence Act (LkSG / SCDDA) </w:t>
      </w:r>
      <w:r>
        <w:rPr>
          <w:rFonts w:ascii="Arial" w:cs="Arial" w:eastAsia="Arial" w:hAnsi="Arial"/>
          <w:color w:val="64748B"/>
          <w:sz w:val="18"/>
          <w:szCs w:val="18"/>
        </w:rPr>
        <w:t xml:space="preserve">—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EU Deforestation Regulation (EUDR) Compliance &amp; Due Diligence </w:t>
      </w:r>
      <w:r>
        <w:rPr>
          <w:rFonts w:ascii="Arial" w:cs="Arial" w:eastAsia="Arial" w:hAnsi="Arial"/>
          <w:color w:val="64748B"/>
          <w:sz w:val="18"/>
          <w:szCs w:val="18"/>
        </w:rPr>
        <w:t xml:space="preserve">—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Fundamentals </w:t>
      </w:r>
      <w:r>
        <w:rPr>
          <w:rFonts w:ascii="Arial" w:cs="Arial" w:eastAsia="Arial" w:hAnsi="Arial"/>
          <w:color w:val="64748B"/>
          <w:sz w:val="18"/>
          <w:szCs w:val="18"/>
        </w:rPr>
        <w:t xml:space="preserve">—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Ocean Governance Capacity Building Training Program (Elective Modules) </w:t>
      </w:r>
      <w:r>
        <w:rPr>
          <w:rFonts w:ascii="Arial" w:cs="Arial" w:eastAsia="Arial" w:hAnsi="Arial"/>
          <w:color w:val="64748B"/>
          <w:sz w:val="18"/>
          <w:szCs w:val="18"/>
        </w:rPr>
        <w:t xml:space="preserve">—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Financial Management Essentials Certificate </w:t>
      </w:r>
      <w:r>
        <w:rPr>
          <w:rFonts w:ascii="Arial" w:cs="Arial" w:eastAsia="Arial" w:hAnsi="Arial"/>
          <w:color w:val="64748B"/>
          <w:sz w:val="18"/>
          <w:szCs w:val="18"/>
        </w:rPr>
        <w:t xml:space="preserve">— DisasterReady / Cornerstone OnDemand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Modern Project Management Theory and Practice </w:t>
      </w:r>
      <w:r>
        <w:rPr>
          <w:rFonts w:ascii="Arial" w:cs="Arial" w:eastAsia="Arial" w:hAnsi="Arial"/>
          <w:color w:val="64748B"/>
          <w:sz w:val="18"/>
          <w:szCs w:val="18"/>
        </w:rPr>
        <w:t xml:space="preserve">— Alison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Project Development &amp; MRV Specialist Training </w:t>
      </w:r>
      <w:r>
        <w:rPr>
          <w:rFonts w:ascii="Arial" w:cs="Arial" w:eastAsia="Arial" w:hAnsi="Arial"/>
          <w:color w:val="64748B"/>
          <w:sz w:val="18"/>
          <w:szCs w:val="18"/>
        </w:rPr>
        <w:t xml:space="preserve">— Fair Carbon (Blue Carbon Academy) (May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Carbon Credits Project Fundamentals </w:t>
      </w:r>
      <w:r>
        <w:rPr>
          <w:rFonts w:ascii="Arial" w:cs="Arial" w:eastAsia="Arial" w:hAnsi="Arial"/>
          <w:color w:val="64748B"/>
          <w:sz w:val="18"/>
          <w:szCs w:val="18"/>
        </w:rPr>
        <w:t xml:space="preserve">— Blooms Academy (Apr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BSAFE Security &amp; Safety Certificate </w:t>
      </w:r>
      <w:r>
        <w:rPr>
          <w:rFonts w:ascii="Arial" w:cs="Arial" w:eastAsia="Arial" w:hAnsi="Arial"/>
          <w:color w:val="64748B"/>
          <w:sz w:val="18"/>
          <w:szCs w:val="18"/>
        </w:rPr>
        <w:t xml:space="preserve">—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2): Batch Processing </w:t>
      </w:r>
      <w:r>
        <w:rPr>
          <w:rFonts w:ascii="Arial" w:cs="Arial" w:eastAsia="Arial" w:hAnsi="Arial"/>
          <w:color w:val="64748B"/>
          <w:sz w:val="18"/>
          <w:szCs w:val="18"/>
        </w:rPr>
        <w:t xml:space="preserve">—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Batch 2) </w:t>
      </w:r>
      <w:r>
        <w:rPr>
          <w:rFonts w:ascii="Arial" w:cs="Arial" w:eastAsia="Arial" w:hAnsi="Arial"/>
          <w:color w:val="64748B"/>
          <w:sz w:val="18"/>
          <w:szCs w:val="18"/>
        </w:rPr>
        <w:t xml:space="preserve">—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Use Bat Auto-ID in Kaleidoscope Pro (Advanced) </w:t>
      </w:r>
      <w:r>
        <w:rPr>
          <w:rFonts w:ascii="Arial" w:cs="Arial" w:eastAsia="Arial" w:hAnsi="Arial"/>
          <w:color w:val="64748B"/>
          <w:sz w:val="18"/>
          <w:szCs w:val="18"/>
        </w:rPr>
        <w:t xml:space="preserve">—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Start a General Survey with Kaleidoscope Pro (Advanced) </w:t>
      </w:r>
      <w:r>
        <w:rPr>
          <w:rFonts w:ascii="Arial" w:cs="Arial" w:eastAsia="Arial" w:hAnsi="Arial"/>
          <w:color w:val="64748B"/>
          <w:sz w:val="18"/>
          <w:szCs w:val="18"/>
        </w:rPr>
        <w:t xml:space="preserve">—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 to Acoustic Indices for Biodiversity Monitoring (Intermediate) </w:t>
      </w:r>
      <w:r>
        <w:rPr>
          <w:rFonts w:ascii="Arial" w:cs="Arial" w:eastAsia="Arial" w:hAnsi="Arial"/>
          <w:color w:val="64748B"/>
          <w:sz w:val="18"/>
          <w:szCs w:val="18"/>
        </w:rPr>
        <w:t xml:space="preserve">—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Perform a Targeted Search with Kaleidoscope Pro (Advanced) </w:t>
      </w:r>
      <w:r>
        <w:rPr>
          <w:rFonts w:ascii="Arial" w:cs="Arial" w:eastAsia="Arial" w:hAnsi="Arial"/>
          <w:color w:val="64748B"/>
          <w:sz w:val="18"/>
          <w:szCs w:val="18"/>
        </w:rPr>
        <w:t xml:space="preserve">—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w:t>
      </w:r>
      <w:r>
        <w:rPr>
          <w:rFonts w:ascii="Arial" w:cs="Arial" w:eastAsia="Arial" w:hAnsi="Arial"/>
          <w:color w:val="64748B"/>
          <w:sz w:val="18"/>
          <w:szCs w:val="18"/>
        </w:rPr>
        <w:t xml:space="preserve">—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Kaleidoscope Lite for Bat Analysis </w:t>
      </w:r>
      <w:r>
        <w:rPr>
          <w:rFonts w:ascii="Arial" w:cs="Arial" w:eastAsia="Arial" w:hAnsi="Arial"/>
          <w:color w:val="64748B"/>
          <w:sz w:val="18"/>
          <w:szCs w:val="18"/>
        </w:rPr>
        <w:t xml:space="preserve">—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Preparing and Responding to Active Shooter Incidents </w:t>
      </w:r>
      <w:r>
        <w:rPr>
          <w:rFonts w:ascii="Arial" w:cs="Arial" w:eastAsia="Arial" w:hAnsi="Arial"/>
          <w:color w:val="64748B"/>
          <w:sz w:val="18"/>
          <w:szCs w:val="18"/>
        </w:rPr>
        <w:t xml:space="preserve">—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Prevention of Sexual Exploitation and Abuse (PSEA) </w:t>
      </w:r>
      <w:r>
        <w:rPr>
          <w:rFonts w:ascii="Arial" w:cs="Arial" w:eastAsia="Arial" w:hAnsi="Arial"/>
          <w:color w:val="64748B"/>
          <w:sz w:val="18"/>
          <w:szCs w:val="18"/>
        </w:rPr>
        <w:t xml:space="preserve">— United Nations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Infrastructure Fundamentals </w:t>
      </w:r>
      <w:r>
        <w:rPr>
          <w:rFonts w:ascii="Arial" w:cs="Arial" w:eastAsia="Arial" w:hAnsi="Arial"/>
          <w:color w:val="64748B"/>
          <w:sz w:val="18"/>
          <w:szCs w:val="18"/>
        </w:rPr>
        <w:t xml:space="preserve">—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Tools for Informed Decision Making </w:t>
      </w:r>
      <w:r>
        <w:rPr>
          <w:rFonts w:ascii="Arial" w:cs="Arial" w:eastAsia="Arial" w:hAnsi="Arial"/>
          <w:color w:val="64748B"/>
          <w:sz w:val="18"/>
          <w:szCs w:val="18"/>
        </w:rPr>
        <w:t xml:space="preserve">—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Global Carbon Summit Indonesia 2025 </w:t>
      </w:r>
      <w:r>
        <w:rPr>
          <w:rFonts w:ascii="Arial" w:cs="Arial" w:eastAsia="Arial" w:hAnsi="Arial"/>
          <w:color w:val="64748B"/>
          <w:sz w:val="18"/>
          <w:szCs w:val="18"/>
        </w:rPr>
        <w:t xml:space="preserve">— Global Carbon Summit (Nov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Network Security Fundamentals </w:t>
      </w:r>
      <w:r>
        <w:rPr>
          <w:rFonts w:ascii="Arial" w:cs="Arial" w:eastAsia="Arial" w:hAnsi="Arial"/>
          <w:color w:val="64748B"/>
          <w:sz w:val="18"/>
          <w:szCs w:val="18"/>
        </w:rPr>
        <w:t xml:space="preserve">— Palo Alto Networks (Sep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Corporate Social Responsibility (CSR) Development Specialist </w:t>
      </w:r>
      <w:r>
        <w:rPr>
          <w:rFonts w:ascii="Arial" w:cs="Arial" w:eastAsia="Arial" w:hAnsi="Arial"/>
          <w:color w:val="64748B"/>
          <w:sz w:val="18"/>
          <w:szCs w:val="18"/>
        </w:rPr>
        <w:t xml:space="preserve">— Corporate Forum for Community Development (CFCD) (Feb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Environment Safeguard Requirements </w:t>
      </w:r>
      <w:r>
        <w:rPr>
          <w:rFonts w:ascii="Arial" w:cs="Arial" w:eastAsia="Arial" w:hAnsi="Arial"/>
          <w:color w:val="64748B"/>
          <w:sz w:val="18"/>
          <w:szCs w:val="18"/>
        </w:rPr>
        <w:t xml:space="preserve">—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Indigenous Peoples Safeguard Requirements </w:t>
      </w:r>
      <w:r>
        <w:rPr>
          <w:rFonts w:ascii="Arial" w:cs="Arial" w:eastAsia="Arial" w:hAnsi="Arial"/>
          <w:color w:val="64748B"/>
          <w:sz w:val="18"/>
          <w:szCs w:val="18"/>
        </w:rPr>
        <w:t xml:space="preserve">—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Human Dimensions of Forest and Landscape Restoration </w:t>
      </w:r>
      <w:r>
        <w:rPr>
          <w:rFonts w:ascii="Arial" w:cs="Arial" w:eastAsia="Arial" w:hAnsi="Arial"/>
          <w:color w:val="64748B"/>
          <w:sz w:val="18"/>
          <w:szCs w:val="18"/>
        </w:rPr>
        <w:t xml:space="preserve">— Society for Ecological Restoration (SER) (Jul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Action Now Program </w:t>
      </w:r>
      <w:r>
        <w:rPr>
          <w:rFonts w:ascii="Arial" w:cs="Arial" w:eastAsia="Arial" w:hAnsi="Arial"/>
          <w:color w:val="64748B"/>
          <w:sz w:val="18"/>
          <w:szCs w:val="18"/>
        </w:rPr>
        <w:t xml:space="preserve">— Pachamama Alliance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Ground-Based Forest Carbon Stock Accounting (SNI 7724) </w:t>
      </w:r>
      <w:r>
        <w:rPr>
          <w:rFonts w:ascii="Arial" w:cs="Arial" w:eastAsia="Arial" w:hAnsi="Arial"/>
          <w:color w:val="64748B"/>
          <w:sz w:val="18"/>
          <w:szCs w:val="18"/>
        </w:rPr>
        <w:t xml:space="preserve">— Generasi Biologi Indonesia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Forest and Landscape Restoration </w:t>
      </w:r>
      <w:r>
        <w:rPr>
          <w:rFonts w:ascii="Arial" w:cs="Arial" w:eastAsia="Arial" w:hAnsi="Arial"/>
          <w:color w:val="64748B"/>
          <w:sz w:val="18"/>
          <w:szCs w:val="18"/>
        </w:rPr>
        <w:t xml:space="preserve">—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Sustainable Financing of Forest and Landscape Restoration </w:t>
      </w:r>
      <w:r>
        <w:rPr>
          <w:rFonts w:ascii="Arial" w:cs="Arial" w:eastAsia="Arial" w:hAnsi="Arial"/>
          <w:color w:val="64748B"/>
          <w:sz w:val="18"/>
          <w:szCs w:val="18"/>
        </w:rPr>
        <w:t xml:space="preserve">—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Practical Guidance: Respecting Free, Prior and Informed Consent (FPIC) </w:t>
      </w:r>
      <w:r>
        <w:rPr>
          <w:rFonts w:ascii="Arial" w:cs="Arial" w:eastAsia="Arial" w:hAnsi="Arial"/>
          <w:color w:val="64748B"/>
          <w:sz w:val="18"/>
          <w:szCs w:val="18"/>
        </w:rPr>
        <w:t xml:space="preserve">—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ESG Job Simulation: Sustainable Strategy &amp; Stakeholder Advisory </w:t>
      </w:r>
      <w:r>
        <w:rPr>
          <w:rFonts w:ascii="Arial" w:cs="Arial" w:eastAsia="Arial" w:hAnsi="Arial"/>
          <w:color w:val="64748B"/>
          <w:sz w:val="18"/>
          <w:szCs w:val="18"/>
        </w:rPr>
        <w:t xml:space="preserve">—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Community Development Job Simulation </w:t>
      </w:r>
      <w:r>
        <w:rPr>
          <w:rFonts w:ascii="Arial" w:cs="Arial" w:eastAsia="Arial" w:hAnsi="Arial"/>
          <w:color w:val="64748B"/>
          <w:sz w:val="18"/>
          <w:szCs w:val="18"/>
        </w:rPr>
        <w:t xml:space="preserve">— Moreton Bay Regional Council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Project Management Essentials Certificate </w:t>
      </w:r>
      <w:r>
        <w:rPr>
          <w:rFonts w:ascii="Arial" w:cs="Arial" w:eastAsia="Arial" w:hAnsi="Arial"/>
          <w:color w:val="64748B"/>
          <w:sz w:val="18"/>
          <w:szCs w:val="18"/>
        </w:rPr>
        <w:t xml:space="preserve">— DisasterReady / Cornerstone OnDemand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Social Network Analysis for Environmental Governance </w:t>
      </w:r>
      <w:r>
        <w:rPr>
          <w:rFonts w:ascii="Arial" w:cs="Arial" w:eastAsia="Arial" w:hAnsi="Arial"/>
          <w:color w:val="64748B"/>
          <w:sz w:val="18"/>
          <w:szCs w:val="18"/>
        </w:rPr>
        <w:t xml:space="preserve">— International Network for Social Network Analysis (INSNA)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1): Getting Started </w:t>
      </w:r>
      <w:r>
        <w:rPr>
          <w:rFonts w:ascii="Arial" w:cs="Arial" w:eastAsia="Arial" w:hAnsi="Arial"/>
          <w:color w:val="64748B"/>
          <w:sz w:val="18"/>
          <w:szCs w:val="18"/>
        </w:rPr>
        <w:t xml:space="preserve">— Wildlife Acoustics (Dec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Navigating Data Privacy and Cybersecurity Risks: Insight for Investors </w:t>
      </w:r>
      <w:r>
        <w:rPr>
          <w:rFonts w:ascii="Arial" w:cs="Arial" w:eastAsia="Arial" w:hAnsi="Arial"/>
          <w:color w:val="64748B"/>
          <w:sz w:val="18"/>
          <w:szCs w:val="18"/>
        </w:rPr>
        <w:t xml:space="preserve">— BrightTALK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on Monitoring and Evaluation for EnABLE Projects </w:t>
      </w:r>
      <w:r>
        <w:rPr>
          <w:rFonts w:ascii="Arial" w:cs="Arial" w:eastAsia="Arial" w:hAnsi="Arial"/>
          <w:color w:val="64748B"/>
          <w:sz w:val="18"/>
          <w:szCs w:val="18"/>
        </w:rPr>
        <w:t xml:space="preserve">—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Conflict of Interest Risk Management for Your Project </w:t>
      </w:r>
      <w:r>
        <w:rPr>
          <w:rFonts w:ascii="Arial" w:cs="Arial" w:eastAsia="Arial" w:hAnsi="Arial"/>
          <w:color w:val="64748B"/>
          <w:sz w:val="18"/>
          <w:szCs w:val="18"/>
        </w:rPr>
        <w:t xml:space="preserve">—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Sustainability Training and E-Learning Program (STEP) </w:t>
      </w:r>
      <w:r>
        <w:rPr>
          <w:rFonts w:ascii="Arial" w:cs="Arial" w:eastAsia="Arial" w:hAnsi="Arial"/>
          <w:color w:val="64748B"/>
          <w:sz w:val="18"/>
          <w:szCs w:val="18"/>
        </w:rPr>
        <w:t xml:space="preserve">—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D3: Define, Develop, Deliver Leadership Framework </w:t>
      </w:r>
      <w:r>
        <w:rPr>
          <w:rFonts w:ascii="Arial" w:cs="Arial" w:eastAsia="Arial" w:hAnsi="Arial"/>
          <w:color w:val="64748B"/>
          <w:sz w:val="18"/>
          <w:szCs w:val="18"/>
        </w:rPr>
        <w:t xml:space="preserve">— Professional Institution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Change and Sovereign Risk </w:t>
      </w:r>
      <w:r>
        <w:rPr>
          <w:rFonts w:ascii="Arial" w:cs="Arial" w:eastAsia="Arial" w:hAnsi="Arial"/>
          <w:color w:val="64748B"/>
          <w:sz w:val="18"/>
          <w:szCs w:val="18"/>
        </w:rPr>
        <w:t xml:space="preserve">— Asian Development Bank Institute (ADBI)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Measuring the Role of Forests and Trees in Household Welfare and Livelihoods </w:t>
      </w:r>
      <w:r>
        <w:rPr>
          <w:rFonts w:ascii="Arial" w:cs="Arial" w:eastAsia="Arial" w:hAnsi="Arial"/>
          <w:color w:val="64748B"/>
          <w:sz w:val="18"/>
          <w:szCs w:val="18"/>
        </w:rPr>
        <w:t xml:space="preserve">— Food and Agriculture Organization (FAO)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in Practice </w:t>
      </w:r>
      <w:r>
        <w:rPr>
          <w:rFonts w:ascii="Arial" w:cs="Arial" w:eastAsia="Arial" w:hAnsi="Arial"/>
          <w:color w:val="64748B"/>
          <w:sz w:val="18"/>
          <w:szCs w:val="18"/>
        </w:rPr>
        <w:t xml:space="preserve">—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 International Standards </w:t>
      </w:r>
      <w:r>
        <w:rPr>
          <w:rFonts w:ascii="Arial" w:cs="Arial" w:eastAsia="Arial" w:hAnsi="Arial"/>
          <w:color w:val="64748B"/>
          <w:sz w:val="18"/>
          <w:szCs w:val="18"/>
        </w:rPr>
        <w:t xml:space="preserve">—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the Global Environment Facility (GEF) </w:t>
      </w:r>
      <w:r>
        <w:rPr>
          <w:rFonts w:ascii="Arial" w:cs="Arial" w:eastAsia="Arial" w:hAnsi="Arial"/>
          <w:color w:val="64748B"/>
          <w:sz w:val="18"/>
          <w:szCs w:val="18"/>
        </w:rPr>
        <w:t xml:space="preserve">— World Bank Group &amp; GEF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Ecosystem Approach to Fisheries Management (EAFM) Planning </w:t>
      </w:r>
      <w:r>
        <w:rPr>
          <w:rFonts w:ascii="Arial" w:cs="Arial" w:eastAsia="Arial" w:hAnsi="Arial"/>
          <w:color w:val="64748B"/>
          <w:sz w:val="18"/>
          <w:szCs w:val="18"/>
        </w:rPr>
        <w:t xml:space="preserve">— Food and Agriculture Organization (FAO)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of Trainers (ToT) for ASC and IndoGAP Sustainable Aquaculture Standards </w:t>
      </w:r>
      <w:r>
        <w:rPr>
          <w:rFonts w:ascii="Arial" w:cs="Arial" w:eastAsia="Arial" w:hAnsi="Arial"/>
          <w:color w:val="64748B"/>
          <w:sz w:val="18"/>
          <w:szCs w:val="18"/>
        </w:rPr>
        <w:t xml:space="preserve">— Politeknik AUP &amp; Kementerian Kelautan dan Perikanan (KKP)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Evaluating Fisheries Co-Management Effectiveness </w:t>
      </w:r>
      <w:r>
        <w:rPr>
          <w:rFonts w:ascii="Arial" w:cs="Arial" w:eastAsia="Arial" w:hAnsi="Arial"/>
          <w:color w:val="64748B"/>
          <w:sz w:val="18"/>
          <w:szCs w:val="18"/>
        </w:rPr>
        <w:t xml:space="preserve">— Food and Agriculture Organization (FAO)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Institutionalization of Forest Data and National Forest Monitoring </w:t>
      </w:r>
      <w:r>
        <w:rPr>
          <w:rFonts w:ascii="Arial" w:cs="Arial" w:eastAsia="Arial" w:hAnsi="Arial"/>
          <w:color w:val="64748B"/>
          <w:sz w:val="18"/>
          <w:szCs w:val="18"/>
        </w:rPr>
        <w:t xml:space="preserve">— Food and Agriculture Organization (FAO) (Aug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Assessing Marine Ecosystem Health with Copernicus Marine Data </w:t>
      </w:r>
      <w:r>
        <w:rPr>
          <w:rFonts w:ascii="Arial" w:cs="Arial" w:eastAsia="Arial" w:hAnsi="Arial"/>
          <w:color w:val="64748B"/>
          <w:sz w:val="18"/>
          <w:szCs w:val="18"/>
        </w:rPr>
        <w:t xml:space="preserve">— Copernicus Marine Service (Jul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B20 Side Event: Technology &amp; Market Innovation for Decarbonization </w:t>
      </w:r>
      <w:r>
        <w:rPr>
          <w:rFonts w:ascii="Arial" w:cs="Arial" w:eastAsia="Arial" w:hAnsi="Arial"/>
          <w:color w:val="64748B"/>
          <w:sz w:val="18"/>
          <w:szCs w:val="18"/>
        </w:rPr>
        <w:t xml:space="preserve">— B20 Indonesia / KADIN (Aug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Youth Economic Leadership Program (YELP Batch VI) </w:t>
      </w:r>
      <w:r>
        <w:rPr>
          <w:rFonts w:ascii="Arial" w:cs="Arial" w:eastAsia="Arial" w:hAnsi="Arial"/>
          <w:color w:val="64748B"/>
          <w:sz w:val="18"/>
          <w:szCs w:val="18"/>
        </w:rPr>
        <w:t xml:space="preserve">— Bank Indonesia Institute (Jul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Certified Remote Pilot (UAV / Drone Operator) </w:t>
      </w:r>
      <w:r>
        <w:rPr>
          <w:rFonts w:ascii="Arial" w:cs="Arial" w:eastAsia="Arial" w:hAnsi="Arial"/>
          <w:color w:val="64748B"/>
          <w:sz w:val="18"/>
          <w:szCs w:val="18"/>
        </w:rPr>
        <w:t xml:space="preserve">— Asosiasi Pilot Drone Indonesia (APDI) (Dec 2020)</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Internal Quality Auditor ISO 9001:2015, ISO 14001:2015 &amp; ISO 45001:2018 </w:t>
      </w:r>
      <w:r>
        <w:rPr>
          <w:rFonts w:ascii="Arial" w:cs="Arial" w:eastAsia="Arial" w:hAnsi="Arial"/>
          <w:color w:val="64748B"/>
          <w:sz w:val="18"/>
          <w:szCs w:val="18"/>
        </w:rPr>
        <w:t xml:space="preserve">— Worldwide Quality Assurance (WQA) (Dec 2018)</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First Aid (BFA) Training </w:t>
      </w:r>
      <w:r>
        <w:rPr>
          <w:rFonts w:ascii="Arial" w:cs="Arial" w:eastAsia="Arial" w:hAnsi="Arial"/>
          <w:color w:val="64748B"/>
          <w:sz w:val="18"/>
          <w:szCs w:val="18"/>
        </w:rPr>
        <w:t xml:space="preserve">— Barron International (Aug 2014)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Sea Survival (BSS) Training </w:t>
      </w:r>
      <w:r>
        <w:rPr>
          <w:rFonts w:ascii="Arial" w:cs="Arial" w:eastAsia="Arial" w:hAnsi="Arial"/>
          <w:color w:val="64748B"/>
          <w:sz w:val="18"/>
          <w:szCs w:val="18"/>
        </w:rPr>
        <w:t xml:space="preserve">— Barron International (Aug 2014)</w:t>
      </w:r>
      <w:r>
        <w:rPr>
          <w:rFonts w:ascii="Arial" w:cs="Arial" w:eastAsia="Arial" w:hAnsi="Arial"/>
          <w:color w:val="0D9488"/>
          <w:sz w:val="17"/>
          <w:szCs w:val="17"/>
        </w:rPr>
        <w:t xml:space="preserve"/>
      </w:r>
    </w:p>
    <w:p>
      <w:pPr>
        <w:pBdr>
          <w:bottom w:val="single" w:color="0D9488" w:sz="12" w:space="4"/>
        </w:pBdr>
        <w:spacing w:after="80" w:before="280"/>
      </w:pPr>
      <w:r>
        <w:rPr>
          <w:rFonts w:ascii="Arial" w:cs="Arial" w:eastAsia="Arial" w:hAnsi="Arial"/>
          <w:b/>
          <w:bCs/>
          <w:color w:val="0F3A5D"/>
          <w:sz w:val="24"/>
          <w:szCs w:val="24"/>
        </w:rPr>
        <w:t xml:space="preserve">HONORS &amp; NATIONAL INNOVATION AWARDS</w:t>
      </w:r>
    </w:p>
    <w:p>
      <w:pPr>
        <w:spacing w:after="20" w:before="60"/>
      </w:pPr>
      <w:r>
        <w:rPr>
          <w:rFonts w:ascii="Arial" w:cs="Arial" w:eastAsia="Arial" w:hAnsi="Arial"/>
          <w:b/>
          <w:bCs/>
          <w:color w:val="0F3A5D"/>
          <w:sz w:val="20"/>
          <w:szCs w:val="20"/>
        </w:rPr>
        <w:t xml:space="preserve">1. undefined</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2. undefined</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3. undefined</w:t>
      </w:r>
      <w:r>
        <w:rPr>
          <w:rFonts w:ascii="Arial" w:cs="Arial" w:eastAsia="Arial" w:hAnsi="Arial"/>
          <w:color w:val="0D9488"/>
          <w:sz w:val="18"/>
          <w:szCs w:val="18"/>
        </w:rPr>
        <w:t xml:space="preserve"> — United Nations Institute for Training and Research (UNITAR) and UN CC:Learn (2026)</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4. undefined</w:t>
      </w:r>
      <w:r>
        <w:rPr>
          <w:rFonts w:ascii="Arial" w:cs="Arial" w:eastAsia="Arial" w:hAnsi="Arial"/>
          <w:color w:val="0D9488"/>
          <w:sz w:val="18"/>
          <w:szCs w:val="18"/>
        </w:rPr>
        <w:t xml:space="preserve"> — Business Innovation Center (BIC) &amp; Ministry of Research and Technology (Kemenristek/BRIN) (2022)</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5. undefined</w:t>
      </w:r>
      <w:r>
        <w:rPr>
          <w:rFonts w:ascii="Arial" w:cs="Arial" w:eastAsia="Arial" w:hAnsi="Arial"/>
          <w:color w:val="0D9488"/>
          <w:sz w:val="18"/>
          <w:szCs w:val="18"/>
        </w:rPr>
        <w:t xml:space="preserve"> — Bank Indonesia Institute (2022)</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6. undefined</w:t>
      </w:r>
      <w:r>
        <w:rPr>
          <w:rFonts w:ascii="Arial" w:cs="Arial" w:eastAsia="Arial" w:hAnsi="Arial"/>
          <w:color w:val="0D9488"/>
          <w:sz w:val="18"/>
          <w:szCs w:val="18"/>
        </w:rPr>
        <w:t xml:space="preserve"> — DigiFish Network &amp; Ministry of Marine Affairs and Fisheries (KKP) (2019)</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7. undefined</w:t>
      </w:r>
      <w:r>
        <w:rPr>
          <w:rFonts w:ascii="Arial" w:cs="Arial" w:eastAsia="Arial" w:hAnsi="Arial"/>
          <w:color w:val="0D9488"/>
          <w:sz w:val="18"/>
          <w:szCs w:val="18"/>
        </w:rPr>
        <w:t xml:space="preserve"> — Inovasia Indonesia &amp; Kemenpora RI (2014)</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8. undefined</w:t>
      </w:r>
      <w:r>
        <w:rPr>
          <w:rFonts w:ascii="Arial" w:cs="Arial" w:eastAsia="Arial" w:hAnsi="Arial"/>
          <w:color w:val="0D9488"/>
          <w:sz w:val="18"/>
          <w:szCs w:val="18"/>
        </w:rPr>
        <w:t xml:space="preserve"> — Indonesian Youth Parliament (2013)</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9. undefined</w:t>
      </w:r>
      <w:r>
        <w:rPr>
          <w:rFonts w:ascii="Arial" w:cs="Arial" w:eastAsia="Arial" w:hAnsi="Arial"/>
          <w:color w:val="0D9488"/>
          <w:sz w:val="18"/>
          <w:szCs w:val="18"/>
        </w:rPr>
        <w:t xml:space="preserve"> — Business Innovation Center (BIC) (2012)</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10. undefined</w:t>
      </w:r>
      <w:r>
        <w:rPr>
          <w:rFonts w:ascii="Arial" w:cs="Arial" w:eastAsia="Arial" w:hAnsi="Arial"/>
          <w:color w:val="0D9488"/>
          <w:sz w:val="18"/>
          <w:szCs w:val="18"/>
        </w:rPr>
        <w:t xml:space="preserve"> — IPB University (2012)</w:t>
      </w:r>
    </w:p>
    <w:p>
      <w:pPr>
        <w:spacing w:after="50" w:before="10"/>
      </w:pPr>
      <w:r>
        <w:rPr>
          <w:rFonts w:ascii="Arial" w:cs="Arial" w:eastAsia="Arial" w:hAnsi="Arial"/>
          <w:color w:val="1E293B"/>
          <w:sz w:val="18"/>
          <w:szCs w:val="18"/>
        </w:rPr>
      </w:r>
    </w:p>
    <w:p>
      <w:pPr>
        <w:pBdr>
          <w:bottom w:val="single" w:color="0D9488" w:sz="12" w:space="4"/>
        </w:pBdr>
        <w:spacing w:after="80" w:before="280"/>
      </w:pPr>
      <w:r>
        <w:rPr>
          <w:rFonts w:ascii="Arial" w:cs="Arial" w:eastAsia="Arial" w:hAnsi="Arial"/>
          <w:b/>
          <w:bCs/>
          <w:color w:val="0F3A5D"/>
          <w:sz w:val="24"/>
          <w:szCs w:val="24"/>
        </w:rPr>
        <w:t xml:space="preserve">PROFESSIONAL MEMBERSHIPS &amp; SCIENTIFIC SOCIETIES</w:t>
      </w:r>
    </w:p>
    <w:p>
      <w:pPr>
        <w:spacing w:after="20" w:before="60"/>
      </w:pPr>
      <w:r>
        <w:rPr>
          <w:rFonts w:ascii="Arial" w:cs="Arial" w:eastAsia="Arial" w:hAnsi="Arial"/>
          <w:b/>
          <w:bCs/>
          <w:color w:val="0F3A5D"/>
          <w:sz w:val="20"/>
          <w:szCs w:val="20"/>
        </w:rPr>
        <w:t xml:space="preserve">1. undefined</w:t>
      </w:r>
      <w:r>
        <w:rPr>
          <w:rFonts w:ascii="Arial" w:cs="Arial" w:eastAsia="Arial" w:hAnsi="Arial"/>
          <w:color w:val="0D9488"/>
          <w:sz w:val="18"/>
          <w:szCs w:val="18"/>
        </w:rPr>
        <w:t xml:space="preserve"> — Member</w:t>
      </w:r>
    </w:p>
    <w:p>
      <w:pPr>
        <w:spacing w:after="50" w:before="10"/>
      </w:pPr>
      <w:r>
        <w:rPr>
          <w:rFonts w:ascii="Arial" w:cs="Arial" w:eastAsia="Arial" w:hAnsi="Arial"/>
          <w:color w:val="1E293B"/>
          <w:sz w:val="18"/>
          <w:szCs w:val="18"/>
        </w:rPr>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1. Prof. Henry M. Manik, S.Pi., M.T., Ph.D.</w:t>
      </w:r>
      <w:r>
        <w:rPr>
          <w:rFonts w:ascii="Arial" w:cs="Arial" w:eastAsia="Arial" w:hAnsi="Arial"/>
          <w:color w:val="0D9488"/>
          <w:sz w:val="18"/>
          <w:szCs w:val="18"/>
        </w:rPr>
        <w:t xml:space="preserve"> — Professor of Ocean Acoustics and Instrumentation,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2. Prof. Dr. Ir. Harpasis Sanusi, M.Sc.</w:t>
      </w:r>
      <w:r>
        <w:rPr>
          <w:rFonts w:ascii="Arial" w:cs="Arial" w:eastAsia="Arial" w:hAnsi="Arial"/>
          <w:color w:val="0D9488"/>
          <w:sz w:val="18"/>
          <w:szCs w:val="18"/>
        </w:rPr>
        <w:t xml:space="preserve"> — Professor of Chemical Oceanography &amp; Marine Pollution,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3. Dr. I Wayan Nurjaya</w:t>
      </w:r>
      <w:r>
        <w:rPr>
          <w:rFonts w:ascii="Arial" w:cs="Arial" w:eastAsia="Arial" w:hAnsi="Arial"/>
          <w:color w:val="0D9488"/>
          <w:sz w:val="18"/>
          <w:szCs w:val="18"/>
        </w:rPr>
        <w:t xml:space="preserve"> — Head of Department of Marine Science and Technology, Bogor Agricultural University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4. Dr. Lida Pet-Soede</w:t>
      </w:r>
      <w:r>
        <w:rPr>
          <w:rFonts w:ascii="Arial" w:cs="Arial" w:eastAsia="Arial" w:hAnsi="Arial"/>
          <w:color w:val="0D9488"/>
          <w:sz w:val="18"/>
          <w:szCs w:val="18"/>
        </w:rPr>
        <w:t xml:space="preserve"> — Director of Marine Unit Service, Hatfield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5. Dias Natasasmita</w:t>
      </w:r>
      <w:r>
        <w:rPr>
          <w:rFonts w:ascii="Arial" w:cs="Arial" w:eastAsia="Arial" w:hAnsi="Arial"/>
          <w:color w:val="0D9488"/>
          <w:sz w:val="18"/>
          <w:szCs w:val="18"/>
        </w:rPr>
        <w:t xml:space="preserve"> — Marine Specialist, World Bank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6. Dr. Windi Al Zahra</w:t>
      </w:r>
      <w:r>
        <w:rPr>
          <w:rFonts w:ascii="Arial" w:cs="Arial" w:eastAsia="Arial" w:hAnsi="Arial"/>
          <w:color w:val="0D9488"/>
          <w:sz w:val="18"/>
          <w:szCs w:val="18"/>
        </w:rPr>
        <w:t xml:space="preserve"> — Senior Researcher / Climate &amp; Environmental Specialist, Centre for Climate Risk and Opportunity Management (CCROM SEAP), IPB University</w:t>
      </w:r>
    </w:p>
    <w:p>
      <w:pPr>
        <w:spacing w:after="50" w:before="10"/>
      </w:pPr>
      <w:r>
        <w:rPr>
          <w:rFonts w:ascii="Arial" w:cs="Arial" w:eastAsia="Arial" w:hAnsi="Arial"/>
          <w:color w:val="64748B"/>
          <w:sz w:val="18"/>
          <w:szCs w:val="18"/>
        </w:rPr>
        <w:t xml:space="preserve">Contact / Context: Contact available upon request</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1fynfycaxt_09arp6vmr" Type="http://schemas.openxmlformats.org/officeDocument/2006/relationships/hyperlink" Target="https://linkedin.com/in/gmwijaya" TargetMode="External"/><Relationship Id="rIdwgxw6aobpcm5fydvrjpzm" Type="http://schemas.openxmlformats.org/officeDocument/2006/relationships/hyperlink" Target="https://gedemahendraw.github.io/" TargetMode="External"/><Relationship Id="rIdh68v7sfebgqotvjvynrh3" Type="http://schemas.openxmlformats.org/officeDocument/2006/relationships/hyperlink" Target="https://orcid.org/0000-0003-2312-7031"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2026-10-21T02:48:07.397Z</dcterms:created>
  <dcterms:modified xsi:type="dcterms:W3CDTF">2026-10-21T02:48:07.412Z</dcterms:modified>
</cp:coreProperties>
</file>

<file path=docProps/custom.xml><?xml version="1.0" encoding="utf-8"?>
<Properties xmlns="http://schemas.openxmlformats.org/officeDocument/2006/custom-properties" xmlns:vt="http://schemas.openxmlformats.org/officeDocument/2006/docPropsVTypes"/>
</file>