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32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69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32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31.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32.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69)</w:t>
      </w:r>
    </w:p>
    <w:p>
      <w:pPr>
        <w:spacing w:after="40" w:before="140"/>
      </w:pPr>
      <w:r>
        <w:rPr>
          <w:rFonts w:ascii="Arial" w:cs="Arial" w:eastAsia="Arial" w:hAnsi="Arial"/>
          <w:b/>
          <w:bCs/>
          <w:color w:val="0F3A5D"/>
          <w:sz w:val="21"/>
          <w:szCs w:val="21"/>
        </w:rPr>
        <w:t xml:space="preserve">1. Carbon, Climate &amp; Ecosystem Services (Blue Carbon, Forest Carbon &amp; Climate Finance) (20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(17 Programs)</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2026-09-29T03:31:44.703Z</dcterms:created>
  <dcterms:modified xsi:type="dcterms:W3CDTF">2026-09-29T03:31:44.705Z</dcterms:modified>
</cp:coreProperties>
</file>

<file path=docProps/custom.xml><?xml version="1.0" encoding="utf-8"?>
<Properties xmlns="http://schemas.openxmlformats.org/officeDocument/2006/custom-properties" xmlns:vt="http://schemas.openxmlformats.org/officeDocument/2006/docPropsVTypes"/>
</file>