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area,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(carbon unit registry system of Indonesia, VCM, Paris Agreement Article 6), MRV, environmental and social compliance (ESIA),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Dedicated to delivering and contributing to high-quality and high-integrity carbon projects based on Nature-based Solutions (NbS), AFOLU ecosystem restoration, and robust MRV frameworks. Directing technical strategy, greenhouse gas accounting, and project validation aligned with Core Carbon Principles (CCPs), ICVCM, and Paris Agreement Article 6 mechanisms. Managing technical compliance across peatland, wetland, and forest concession areas (&gt;200,000 ha) in Papua under the carbon unit registry system of Indonesia, Verra VCS + CCB, SD VISta, and Nature Framework to ensure additionality, permanence, and verifiable ecological integrity.</w:t>
      </w:r>
    </w:p>
    <w:p>
      <w:pPr>
        <w:spacing w:after="20" w:before="100"/>
      </w:pPr>
      <w:r>
        <w:rPr>
          <w:rFonts w:ascii="Arial" w:cs="Arial" w:eastAsia="Arial" w:hAnsi="Arial"/>
          <w:b/>
          <w:bCs/>
          <w:color w:val="0F3A5D"/>
          <w:sz w:val="21"/>
          <w:szCs w:val="21"/>
        </w:rPr>
        <w:t xml:space="preserve">2. Project Manager</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Environment and Forestry and Ministry of Marine Affairs and Fisheries, formulating Environmental &amp; Social Management Plans (ESMP) and establishing rigorous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Promoted to Deputy Unit Leader in 2022. Contributed to multi-year marine and coastal projects funded by IFIs and UN agencies including World Bank, ADB, AFD, and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specialist contributing to marine ecology, oceanographic baseline assessments, fisheries resource management, and environmental and social compliance. Contributed to multi-year initiatives including fisheries and aquaculture programs supported by the Walton Family Foundation. Designed and executed comprehensive marine surveys (water quality, benthic communities, coral reef health, pelagic fish acoustics), formulated Environmental and Social Management Plans (ESMP), and advanced digital fisheries monitoring (satellite VMS with Inmarsat and UK Space Agency). Delivered high-impact technical reports and policy recommendations for the World Bank, ADB, AFD, FAO, and MMAF.</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29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SD VISta, and Nature Framework),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21.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22.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23.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24.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25.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26.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27.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Application of Radon Transform Method for 2D Seismic Multiple Wave Reduction in West Sumatra Waters</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ACADEMIC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Bogor Agricultural University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Prof. Henry M. Manik, S.Pi., M.T., Ph.D.</w:t>
      </w:r>
      <w:r>
        <w:rPr>
          <w:rFonts w:ascii="Arial" w:cs="Arial" w:eastAsia="Arial" w:hAnsi="Arial"/>
          <w:color w:val="1E293B"/>
          <w:sz w:val="19"/>
          <w:szCs w:val="19"/>
        </w:rPr>
        <w:t xml:space="preserve"> - Professor of Ocean Acoustics and Instrumentation, Department of Marine Science and Technology,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Windi Al Zahra</w:t>
      </w:r>
      <w:r>
        <w:rPr>
          <w:rFonts w:ascii="Arial" w:cs="Arial" w:eastAsia="Arial" w:hAnsi="Arial"/>
          <w:color w:val="1E293B"/>
          <w:sz w:val="19"/>
          <w:szCs w:val="19"/>
        </w:rPr>
        <w:t xml:space="preserve"> - Senior Researcher / Climate &amp; Environmental Specialist, Centre for Climate Risk and Opportunity Management (CCROM SEAP),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Dias Natasasmita</w:t>
      </w:r>
      <w:r>
        <w:rPr>
          <w:rFonts w:ascii="Arial" w:cs="Arial" w:eastAsia="Arial" w:hAnsi="Arial"/>
          <w:color w:val="1E293B"/>
          <w:sz w:val="19"/>
          <w:szCs w:val="19"/>
        </w:rPr>
        <w:t xml:space="preserve"> - Marine Specialist, World Bank Group</w:t>
      </w:r>
    </w:p>
    <w:p>
      <w:pPr>
        <w:spacing w:after="80" w:before="0"/>
      </w:pPr>
      <w:r>
        <w:rPr>
          <w:rFonts w:ascii="Arial" w:cs="Arial" w:eastAsia="Arial" w:hAnsi="Arial"/>
          <w:color w:val="64748B"/>
          <w:sz w:val="18"/>
          <w:szCs w:val="18"/>
        </w:rPr>
        <w:t xml:space="preserve">Contact available upon request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2026-10-21T02:14:11.571Z</dcterms:created>
  <dcterms:modified xsi:type="dcterms:W3CDTF">2026-10-21T02:14:11.592Z</dcterms:modified>
</cp:coreProperties>
</file>

<file path=docProps/custom.xml><?xml version="1.0" encoding="utf-8"?>
<Properties xmlns="http://schemas.openxmlformats.org/officeDocument/2006/custom-properties" xmlns:vt="http://schemas.openxmlformats.org/officeDocument/2006/docPropsVTypes"/>
</file>