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(carbon unit registry system of Indonesia, IDXCarbon, and international compliance). Directing the development, technical review, and validation of Project Design Documents and Climate Mitigation Action Plan Documents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local customary communities. Led regulatory liaison and licensing with the Ministry of Environment and Forestry (MoEF / KLHK) and Ministry of Marine Affairs and Fisheries (KKP). Formulated comprehensive Environmental &amp; Social Management Plans (ESMP), environmental and social compliance,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multiple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2026-10-20T09:25:58.963Z</dcterms:created>
  <dcterms:modified xsi:type="dcterms:W3CDTF">2026-10-20T09:25:58.964Z</dcterms:modified>
</cp:coreProperties>
</file>

<file path=docProps/custom.xml><?xml version="1.0" encoding="utf-8"?>
<Properties xmlns="http://schemas.openxmlformats.org/officeDocument/2006/custom-properties" xmlns:vt="http://schemas.openxmlformats.org/officeDocument/2006/docPropsVTypes"/>
</file>