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leadership across marine-based sectors, forest concessions, and industrial waste decarbonization. Formally trained in marine science and acoustics (IPB University), with expertise spanning coastal and ocean governance, sustainable fisheries, forest concession area, and carbon mitigation across AFOLU (&gt;200,000 ha peatland/wetland concessions in Papua) and Waste sectors (Palm Oil Mill Effluent / POME methane capture &amp; biogas-to-energy). Proven track record with major international institutions (World Bank, ADB, FAO, UNDP, TNC) and national innovation award recognition (BIC). Highly skilled in carbon accounting (carbon unit registry system of Indonesia, VCM, Paris Agreement Article 6), MRV, environmental and social compliance (ESIA), and multi-stakeholder engagement.</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29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72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00" w:before="0"/>
      </w:pPr>
      <w:r>
        <w:rPr>
          <w:rFonts w:ascii="Arial" w:cs="Arial" w:eastAsia="Arial" w:hAnsi="Arial"/>
          <w:color w:val="1E293B"/>
          <w:sz w:val="19"/>
          <w:szCs w:val="19"/>
        </w:rPr>
        <w:t xml:space="preserve">Concentration in Marine Acoustic and Remote Sensing Technology | GPA: 3.04. Undergraduate Thesis: "Application of Radon Transform Method for 2D Seismic Multiple Wave Reduction in West Sumatra Waters" (Advisor: Prof. Dr. Henry M. Manik | IPB Scientific Repository).</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(Ongoing)</w:t>
      </w:r>
    </w:p>
    <w:p>
      <w:pPr>
        <w:spacing w:after="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Online Professional Program</w:t>
      </w:r>
    </w:p>
    <w:p>
      <w:pPr>
        <w:spacing w:after="100" w:before="0"/>
      </w:pPr>
      <w:r>
        <w:rPr>
          <w:rFonts w:ascii="Arial" w:cs="Arial" w:eastAsia="Arial" w:hAnsi="Arial"/>
          <w:color w:val="1E293B"/>
          <w:sz w:val="19"/>
          <w:szCs w:val="19"/>
        </w:rPr>
        <w:t xml:space="preserve">Specialized curriculum in GHG accounting, carbon project management, baseline determination, and MRV frameworks.</w:t>
      </w:r>
    </w:p>
    <w:p>
      <w:pPr>
        <w:spacing w:after="20" w:before="40"/>
      </w:pPr>
      <w:r>
        <w:rPr>
          <w:rFonts w:ascii="Arial" w:cs="Arial" w:eastAsia="Arial" w:hAnsi="Arial"/>
          <w:b/>
          <w:bCs/>
          <w:color w:val="0F3A5D"/>
          <w:sz w:val="21"/>
          <w:szCs w:val="21"/>
        </w:rPr>
        <w:t xml:space="preserve">Diploma in Environmental Management</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20" w:before="40"/>
      </w:pPr>
      <w:r>
        <w:rPr>
          <w:rFonts w:ascii="Arial" w:cs="Arial" w:eastAsia="Arial" w:hAnsi="Arial"/>
          <w:b/>
          <w:bCs/>
          <w:color w:val="0F3A5D"/>
          <w:sz w:val="21"/>
          <w:szCs w:val="21"/>
        </w:rPr>
        <w:t xml:space="preserve">Diploma in Occupational Health, Safety and Environment (OHSE)</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Dedicated to delivering and contributing to high-quality and high-integrity carbon projects based on Nature-based Solutions (NbS), AFOLU ecosystem restoration, and robust MRV frameworks. Directing technical strategy, greenhouse gas accounting, and project validation aligned with Core Carbon Principles (CCPs), ICVCM, and Paris Agreement Article 6 mechanisms. Managing technical compliance across peatland, wetland, and forest concession areas (&gt;200,000 ha) in Papua under the carbon unit registry system of Indonesia, Verra VCS + CCB, SD VISta, and Nature Framework to ensure additionality, permanence, and verifiable ecological integrity.</w:t>
      </w:r>
    </w:p>
    <w:p>
      <w:pPr>
        <w:spacing w:after="20" w:before="100"/>
      </w:pPr>
      <w:r>
        <w:rPr>
          <w:rFonts w:ascii="Arial" w:cs="Arial" w:eastAsia="Arial" w:hAnsi="Arial"/>
          <w:b/>
          <w:bCs/>
          <w:color w:val="0F3A5D"/>
          <w:sz w:val="21"/>
          <w:szCs w:val="21"/>
        </w:rPr>
        <w:t xml:space="preserve">2. Project Manager</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Contributed to and managed terrestrial, peatland, and coastal wetland carbon project operations (&gt;200,000 ha) in West Papua and Southwest Papua. Led multidisciplinary field teams executing ecological baselines, High Carbon Stock Approach (HCSA), High Conservation Value (HCV), and ground-based carbon stock accounting (SNI 7724). Designed and facilitated Free, Prior, and Informed Consent (FPIC) with local customary communities to establish inclusive benefit-sharing frameworks. Directed regulatory licensing with the Ministry of Environment and Forestry and Ministry of Marine Affairs and Fisheries, formulating Environmental &amp; Social Management Plans (ESMP) and establishing rigorous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Promoted to Deputy Unit Leader in 2022. Contributed to multi-year marine and coastal projects funded by IFIs and UN agencies including World Bank, ADB, AFD, and FAO, delivering ecological baseline assessments and spatial governance. Co-led the strategic, operational, and financial management of the Business Unit, directing business planning, commercial proposals, and multi-disciplinary teams across marine conservation, fisheries governance, and environmental safeguards.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specialist contributing to marine ecology, oceanographic baseline assessments, fisheries resource management, and environmental and social compliance. Contributed to multi-year initiatives including fisheries and aquaculture programs supported by the Walton Family Foundation. Designed and executed comprehensive marine surveys (water quality, benthic communities, coral reef health, pelagic fish acoustics), formulated Environmental and Social Management Plans (ESMP), and advanced digital fisheries monitoring (satellite VMS with Inmarsat and UK Space Agency). Delivered high-impact technical reports and policy recommendations for the World Bank, ADB, AFD, FAO, and MMAF.</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with dedicated visual observation during 2D and Transition Zone (TZ) marine seismic surveys for KrisEnergy (Udan Emas) BV in Arguni Bay, West Papua. Enforced pre-shooting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29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forest concession ecosystem restoration and carbon project licensing, ensuring full alignment with local customary land rights.</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(carbon unit registry system of Indonesia, Verra VCS + CCB, SD VISta, and Nature Framework),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Served as National Focal Point, 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11.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12.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13.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14.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15.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16.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17.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18.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19.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20.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21. Scientific Assessment of Marine Mammal Interactions with Commercial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100"/>
      </w:pPr>
      <w:r>
        <w:rPr>
          <w:rFonts w:ascii="Arial" w:cs="Arial" w:eastAsia="Arial" w:hAnsi="Arial"/>
          <w:b/>
          <w:bCs/>
          <w:color w:val="0F3A5D"/>
          <w:sz w:val="20"/>
          <w:szCs w:val="20"/>
        </w:rPr>
        <w:t xml:space="preserve">22.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23.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24.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25.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26.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27.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100"/>
      </w:pPr>
      <w:r>
        <w:rPr>
          <w:rFonts w:ascii="Arial" w:cs="Arial" w:eastAsia="Arial" w:hAnsi="Arial"/>
          <w:b/>
          <w:bCs/>
          <w:color w:val="0F3A5D"/>
          <w:sz w:val="20"/>
          <w:szCs w:val="20"/>
        </w:rPr>
        <w:t xml:space="preserve">28. Sustainable Tuna Fisheries Management Based on Acoustic Measurement, Length-Based Assessment, and FAD Management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The Nature Conservancy (TNC)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December 2017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&amp; FISHERIES GOVERNANCE</w:t>
      </w:r>
    </w:p>
    <w:p>
      <w:pPr>
        <w:spacing w:after="100" w:before="0"/>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100"/>
      </w:pPr>
      <w:r>
        <w:rPr>
          <w:rFonts w:ascii="Arial" w:cs="Arial" w:eastAsia="Arial" w:hAnsi="Arial"/>
          <w:b/>
          <w:bCs/>
          <w:color w:val="0F3A5D"/>
          <w:sz w:val="20"/>
          <w:szCs w:val="20"/>
        </w:rPr>
        <w:t xml:space="preserve">29. Marine Mammal Monitoring and Mitigation Plan for 3D Marine Seismic Acquisition in Mentawai Block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Total E&amp;P Indonesie Mentawai B.V. / PPLH IPB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2015 - January 2016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ENVIRONMENTAL ASSESSMENT &amp; SAFEGUARDS</w:t>
      </w:r>
    </w:p>
    <w:p>
      <w:pPr>
        <w:spacing w:after="100" w:before="0"/>
      </w:pPr>
      <w:r>
        <w:rPr>
          <w:rFonts w:ascii="Arial" w:cs="Arial" w:eastAsia="Arial" w:hAnsi="Arial"/>
          <w:color w:val="1E293B"/>
          <w:sz w:val="19"/>
          <w:szCs w:val="19"/>
        </w:rPr>
        <w:t xml:space="preserve">Led technical health, safety, and environmental (HSE) protocols and JNCC-compliant Marine Mammal Observation (MMO) with dedicated visual observation during the deep-water 3D marine seismic survey using airgun arrays in the Total E&amp;P Indonesie Mentawai B.V. Block (Indian Ocean). Executed 360-degree pre-shooting visual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72)</w:t>
      </w:r>
    </w:p>
    <w:p>
      <w:pPr>
        <w:spacing w:after="40" w:before="140"/>
      </w:pPr>
      <w:r>
        <w:rPr>
          <w:rFonts w:ascii="Arial" w:cs="Arial" w:eastAsia="Arial" w:hAnsi="Arial"/>
          <w:b/>
          <w:bCs/>
          <w:color w:val="0F3A5D"/>
          <w:sz w:val="21"/>
          <w:szCs w:val="21"/>
        </w:rPr>
        <w:t xml:space="preserve">1. Carbon, Climate &amp; Ecosystem Services (Blue Carbon, Forest Carbon &amp; Climate Finance) (22 Programs)</w:t>
      </w:r>
    </w:p>
    <w:p>
      <w:pPr>
        <w:pStyle w:val="ListParagraph"/>
        <w:numPr>
          <w:ilvl w:val="0"/>
          <w:numId w:val="1"/>
        </w:numPr>
        <w:spacing w:after="20" w:before="20"/>
      </w:pPr>
      <w:r>
        <w:rPr>
          <w:rFonts w:ascii="Arial" w:cs="Arial" w:eastAsia="Arial" w:hAnsi="Arial"/>
          <w:b/>
          <w:bCs/>
          <w:color w:val="1E293B"/>
          <w:sz w:val="19"/>
          <w:szCs w:val="19"/>
        </w:rPr>
        <w:t xml:space="preserve">Operationalizing Article 6.2 of the Paris Agreement: Achieving Ambitious Climate Action Through Cooperative Approaches</w:t>
      </w:r>
      <w:r>
        <w:rPr>
          <w:rFonts w:ascii="Arial" w:cs="Arial" w:eastAsia="Arial" w:hAnsi="Arial"/>
          <w:color w:val="64748B"/>
          <w:sz w:val="18"/>
          <w:szCs w:val="18"/>
        </w:rPr>
        <w:t xml:space="preserve"> - United Nations Development Programme (UNDP), UNFCCC &amp; Learning for Nature (Oct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Governance, Internationally Transferred Mitigation Outcomes (ITMOs), Bilateral Cooperative Approaches, Corresponding Adjustments &amp; NDC Accounting, National Registry &amp; Tracking, Authorization Frameworks</w:t>
      </w:r>
    </w:p>
    <w:p>
      <w:pPr>
        <w:spacing w:after="40" w:before="0"/>
        <w:ind w:left="400"/>
      </w:pPr>
      <w:r>
        <w:rPr>
          <w:rFonts w:ascii="Arial" w:cs="Arial" w:eastAsia="Arial" w:hAnsi="Arial"/>
          <w:color w:val="64748B"/>
          <w:sz w:val="18"/>
          <w:szCs w:val="18"/>
        </w:rPr>
        <w:t xml:space="preserve">Specialized training certification developed by UNDP in partnership with the UNFCCC and delivered via Learning for Nature / UN CC:Learn. Covers key requirements and national building blocks for operationalizing Article 6.2 cooperative approaches, including bilateral trading of Internationally Transferred Mitigation Outcomes (ITMOs), robust NDC accounting, avoiding double-counting with corresponding adjustments, and institutional arrangements.</w:t>
      </w:r>
    </w:p>
    <w:p>
      <w:pPr>
        <w:pStyle w:val="ListParagraph"/>
        <w:numPr>
          <w:ilvl w:val="0"/>
          <w:numId w:val="1"/>
        </w:numPr>
        <w:spacing w:after="20" w:before="20"/>
      </w:pPr>
      <w:r>
        <w:rPr>
          <w:rFonts w:ascii="Arial" w:cs="Arial" w:eastAsia="Arial" w:hAnsi="Arial"/>
          <w:b/>
          <w:bCs/>
          <w:color w:val="1E293B"/>
          <w:sz w:val="19"/>
          <w:szCs w:val="19"/>
        </w:rPr>
        <w:t xml:space="preserve">Introduction to Biodiversity Credits (Learning Journey)</w:t>
      </w:r>
      <w:r>
        <w:rPr>
          <w:rFonts w:ascii="Arial" w:cs="Arial" w:eastAsia="Arial" w:hAnsi="Arial"/>
          <w:color w:val="64748B"/>
          <w:sz w:val="18"/>
          <w:szCs w:val="18"/>
        </w:rPr>
        <w:t xml:space="preserve"> - Biodiversity Credit Alliance (BCA), Nature for Life Hub &amp; University of Nottingham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Biodiversity Credits Framework, High-Integrity Nature Credits, Biodiversity Credit Alliance (BCA) Principles, Nature-Positive Market Mechanisms, Indigenous &amp; Community Rights (IPLC Safeguards), Biodiversity Metrics &amp; Monitoring</w:t>
      </w:r>
    </w:p>
    <w:p>
      <w:pPr>
        <w:spacing w:after="40" w:before="0"/>
        <w:ind w:left="400"/>
      </w:pPr>
      <w:r>
        <w:rPr>
          <w:rFonts w:ascii="Arial" w:cs="Arial" w:eastAsia="Arial" w:hAnsi="Arial"/>
          <w:color w:val="64748B"/>
          <w:sz w:val="18"/>
          <w:szCs w:val="18"/>
        </w:rPr>
        <w:t xml:space="preserve">Specialized learning journey certification on biodiversity credits awarded by the Biodiversity Credit Alliance (BCA) and Nature for Life Hub in collaboration with the University of Nottingham. Comprehensive training on high-integrity biodiversity credit markets, nature-positive crediting mechanisms, biodiversity metrics, integrity governance, and community benefit-sharing models.</w:t>
      </w:r>
    </w:p>
    <w:p>
      <w:pPr>
        <w:pStyle w:val="ListParagraph"/>
        <w:numPr>
          <w:ilvl w:val="0"/>
          <w:numId w:val="1"/>
        </w:numPr>
        <w:spacing w:after="20" w:before="20"/>
      </w:pPr>
      <w:r>
        <w:rPr>
          <w:rFonts w:ascii="Arial" w:cs="Arial" w:eastAsia="Arial" w:hAnsi="Arial"/>
          <w:b/>
          <w:bCs/>
          <w:color w:val="1E293B"/>
          <w:sz w:val="19"/>
          <w:szCs w:val="19"/>
        </w:rPr>
        <w:t xml:space="preserve">Climate Finance Transparency</w:t>
      </w:r>
      <w:r>
        <w:rPr>
          <w:rFonts w:ascii="Arial" w:cs="Arial" w:eastAsia="Arial" w:hAnsi="Arial"/>
          <w:color w:val="64748B"/>
          <w:sz w:val="18"/>
          <w:szCs w:val="18"/>
        </w:rPr>
        <w:t xml:space="preserve"> - Initiative for Climate Action Transparency (ICAT)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Climate Finance Tracking, Enhanced Transparency Framework (ETF), Article 9 &amp; 13 Paris Agreement, Climate Finance Needs Assessment, Climate Finance Mobilization, Transparency Metrics &amp; MRV</w:t>
      </w:r>
    </w:p>
    <w:p>
      <w:pPr>
        <w:spacing w:after="40" w:before="0"/>
        <w:ind w:left="400"/>
      </w:pPr>
      <w:r>
        <w:rPr>
          <w:rFonts w:ascii="Arial" w:cs="Arial" w:eastAsia="Arial" w:hAnsi="Arial"/>
          <w:color w:val="64748B"/>
          <w:sz w:val="18"/>
          <w:szCs w:val="18"/>
        </w:rPr>
        <w:t xml:space="preserve">Professional certification developed by the Initiative for Climate Action Transparency (ICAT) on Learning for Nature. Comprehensive training on establishing national climate finance tracking frameworks, assessing financial needs for mitigation and adaptation, mapping climate finance flows, and aligning with the Paris Agreement's Enhanced Transparency Framework (ETF).</w:t>
      </w:r>
    </w:p>
    <w:p>
      <w:pPr>
        <w:pStyle w:val="ListParagraph"/>
        <w:numPr>
          <w:ilvl w:val="0"/>
          <w:numId w:val="1"/>
        </w:numPr>
        <w:spacing w:after="20" w:before="20"/>
      </w:pPr>
      <w:r>
        <w:rPr>
          <w:rFonts w:ascii="Arial" w:cs="Arial" w:eastAsia="Arial" w:hAnsi="Arial"/>
          <w:b/>
          <w:bCs/>
          <w:color w:val="1E293B"/>
          <w:sz w:val="19"/>
          <w:szCs w:val="19"/>
        </w:rPr>
        <w:t xml:space="preserve">Biodiversity Finance: Designing and Implementing Finance Plans for Nature</w:t>
      </w:r>
      <w:r>
        <w:rPr>
          <w:rFonts w:ascii="Arial" w:cs="Arial" w:eastAsia="Arial" w:hAnsi="Arial"/>
          <w:color w:val="64748B"/>
          <w:sz w:val="18"/>
          <w:szCs w:val="18"/>
        </w:rPr>
        <w:t xml:space="preserve"> - UNDP Biodiversity Finance Initiative (BIOFIN)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BIOFIN Methodology, Biodiversity Expenditure Review (BER), Financial Needs Assessment (FNA), Biodiversity Finance Plan (BFP), Nature-Positive Finance Mechanisms, Sustainable Blended Finance &amp; Impact Investment</w:t>
      </w:r>
    </w:p>
    <w:p>
      <w:pPr>
        <w:spacing w:after="40" w:before="0"/>
        <w:ind w:left="400"/>
      </w:pPr>
      <w:r>
        <w:rPr>
          <w:rFonts w:ascii="Arial" w:cs="Arial" w:eastAsia="Arial" w:hAnsi="Arial"/>
          <w:color w:val="64748B"/>
          <w:sz w:val="18"/>
          <w:szCs w:val="18"/>
        </w:rPr>
        <w:t xml:space="preserve">Comprehensive 12-hour specialized professional course developed by the UNDP Biodiversity Finance Initiative (BIOFIN) on Learning for Nature, based on the BIOFIN Workbook 2024. Covers the complete BIOFIN national methodology: Policy and Institutional Review (PIR), Biodiversity Expenditure Review (BER), Financial Needs Assessment (FNA), and designing and mobilizing high-impact national Biodiversity Finance Plans (BFP) to close global biodiversity financing gaps.</w:t>
      </w:r>
    </w:p>
    <w:p>
      <w:pPr>
        <w:pStyle w:val="ListParagraph"/>
        <w:numPr>
          <w:ilvl w:val="0"/>
          <w:numId w:val="1"/>
        </w:numPr>
        <w:spacing w:after="20" w:before="20"/>
      </w:pPr>
      <w:r>
        <w:rPr>
          <w:rFonts w:ascii="Arial" w:cs="Arial" w:eastAsia="Arial" w:hAnsi="Arial"/>
          <w:b/>
          <w:bCs/>
          <w:color w:val="1E293B"/>
          <w:sz w:val="19"/>
          <w:szCs w:val="19"/>
        </w:rPr>
        <w:t xml:space="preserve">ICAT Training on the Use of the IPCC Inventory Software</w:t>
      </w:r>
      <w:r>
        <w:rPr>
          <w:rFonts w:ascii="Arial" w:cs="Arial" w:eastAsia="Arial" w:hAnsi="Arial"/>
          <w:color w:val="64748B"/>
          <w:sz w:val="18"/>
          <w:szCs w:val="18"/>
        </w:rPr>
        <w:t xml:space="preserve"> - Initiative for Climate Action Transparency (ICAT), IPCC TSU &amp; UNDP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IPCC Inventory Software, 2006 IPCC Guidelines for National GHG Inventories, Enhanced Transparency Framework (ETF), LULUCF &amp; AFOLU Emission Estimation, UNFCCC ETF Reporting Tool Interoperability, Activity Data &amp; Emission Factor Management</w:t>
      </w:r>
    </w:p>
    <w:p>
      <w:pPr>
        <w:spacing w:after="40" w:before="0"/>
        <w:ind w:left="400"/>
      </w:pPr>
      <w:r>
        <w:rPr>
          <w:rFonts w:ascii="Arial" w:cs="Arial" w:eastAsia="Arial" w:hAnsi="Arial"/>
          <w:color w:val="64748B"/>
          <w:sz w:val="18"/>
          <w:szCs w:val="18"/>
        </w:rPr>
        <w:t xml:space="preserve">Specialized technical training program developed by the Initiative for Climate Action Transparency (ICAT) and the IPCC Task Force on National Greenhouse Gas Inventories Technical Support Unit (IPCC TSU) on UNDP Learning for Nature. Comprehensive operational training covering all IPCC sectors (Energy, IPPU, Agriculture, LULUCF/Forestry, and Waste) to calculate national GHG emissions and removals, apply 2006 IPCC Guidelines, and ensure interoperability with the UNFCCC ETF reporting tool under the Paris Agreement.</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Article 6 Decision-Making: Training for Practitioners</w:t>
      </w:r>
      <w:r>
        <w:rPr>
          <w:rFonts w:ascii="Arial" w:cs="Arial" w:eastAsia="Arial" w:hAnsi="Arial"/>
          <w:color w:val="64748B"/>
          <w:sz w:val="18"/>
          <w:szCs w:val="18"/>
        </w:rPr>
        <w:t xml:space="preserve"> - Paris Agreement Article 6 Implementation Partnership (A6IP) Center, Perspectives Climate Research &amp; GHGMI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&amp; 6.4, Internationally Transferred Mitigation Outcomes (ITMOs), Carbon Market Decision-Making, Corresponding Adjustments, GHG Accounting &amp; MRV, Carbon Crediting Mechanisms, Institutional Arrangements</w:t>
      </w:r>
    </w:p>
    <w:p>
      <w:pPr>
        <w:spacing w:after="40" w:before="0"/>
        <w:ind w:left="400"/>
      </w:pPr>
      <w:r>
        <w:rPr>
          <w:rFonts w:ascii="Arial" w:cs="Arial" w:eastAsia="Arial" w:hAnsi="Arial"/>
          <w:color w:val="64748B"/>
          <w:sz w:val="18"/>
          <w:szCs w:val="18"/>
        </w:rPr>
        <w:t xml:space="preserve">Advanced professional training for carbon market practitioners developed by Perspectives Climate Research and the Greenhouse Gas Management Institute (GHGMI), supported by the Paris Agreement Article 6 Implementation Partnership (A6IP) Center, Ministry of the Environment Japan (MOEJ), and BMWK Germany. Rigorous curriculum covering strategic evaluation of Article 6 mechanisms (6.2 cooperative approaches and 6.4 crediting mechanism), international carbon market dynamics, project-level GHG accounting, corresponding adjustments, and national institutional readiness for market-based mitigation.</w:t>
      </w:r>
    </w:p>
    <w:p>
      <w:pPr>
        <w:pStyle w:val="ListParagraph"/>
        <w:numPr>
          <w:ilvl w:val="0"/>
          <w:numId w:val="1"/>
        </w:numPr>
        <w:spacing w:after="20" w:before="20"/>
      </w:pPr>
      <w:r>
        <w:rPr>
          <w:rFonts w:ascii="Arial" w:cs="Arial" w:eastAsia="Arial" w:hAnsi="Arial"/>
          <w:b/>
          <w:bCs/>
          <w:color w:val="1E293B"/>
          <w:sz w:val="19"/>
          <w:szCs w:val="19"/>
        </w:rPr>
        <w:t xml:space="preserve">201 Basics of Organizational GHG Accounting (Certificate of Proficiency)</w:t>
      </w:r>
      <w:r>
        <w:rPr>
          <w:rFonts w:ascii="Arial" w:cs="Arial" w:eastAsia="Arial" w:hAnsi="Arial"/>
          <w:color w:val="64748B"/>
          <w:sz w:val="18"/>
          <w:szCs w:val="18"/>
        </w:rPr>
        <w:t xml:space="preserve"> - The Greenhouse Gas Management Institute (GHGMI)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Organizational GHG Accounting, GHG Protocol Corporate Standard, ISO 14064-1, Scope 1, Scope 2 &amp; Scope 3 Emissions, Inventory Quality Management, Baseline Recalculation</w:t>
      </w:r>
    </w:p>
    <w:p>
      <w:pPr>
        <w:spacing w:after="40" w:before="0"/>
        <w:ind w:left="400"/>
      </w:pPr>
      <w:r>
        <w:rPr>
          <w:rFonts w:ascii="Arial" w:cs="Arial" w:eastAsia="Arial" w:hAnsi="Arial"/>
          <w:color w:val="64748B"/>
          <w:sz w:val="18"/>
          <w:szCs w:val="18"/>
        </w:rPr>
        <w:t xml:space="preserve">Formal professional certificate of proficiency issued by the Greenhouse Gas Management Institute (GHGMI) under Dean Michael Gillenwater (Credential Code: 201EX2046 / BOGAEX2046). Rigorous curriculum covering organizational carbon accounting principles, organizational and operational boundary setting, Scope 1, 2, and 3 emission quantification methodologies, activity data collection, emission factor selection, and uncertainty management aligned with the GHG Protocol and ISO 14064.</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(18 Programs)</w:t>
      </w:r>
    </w:p>
    <w:p>
      <w:pPr>
        <w:pStyle w:val="ListParagraph"/>
        <w:numPr>
          <w:ilvl w:val="0"/>
          <w:numId w:val="1"/>
        </w:numPr>
        <w:spacing w:after="20" w:before="20"/>
      </w:pPr>
      <w:r>
        <w:rPr>
          <w:rFonts w:ascii="Arial" w:cs="Arial" w:eastAsia="Arial" w:hAnsi="Arial"/>
          <w:b/>
          <w:bCs/>
          <w:color w:val="1E293B"/>
          <w:sz w:val="19"/>
          <w:szCs w:val="19"/>
        </w:rPr>
        <w:t xml:space="preserve">Building Skills for Coastal Restoration with Nature and People</w:t>
      </w:r>
      <w:r>
        <w:rPr>
          <w:rFonts w:ascii="Arial" w:cs="Arial" w:eastAsia="Arial" w:hAnsi="Arial"/>
          <w:color w:val="64748B"/>
          <w:sz w:val="18"/>
          <w:szCs w:val="18"/>
        </w:rPr>
        <w:t xml:space="preserve"> - UNESCO/IOC OceanTeacher Global Academy (OTGA) &amp; A-AAGORA Project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Coastal Ecosystem Restoration, Nature-based Solutions (NbS), Community-Led Marine Stewardship, Marine Spatial Planning, Biodiversity Enhancement, Ecosystem Resilience</w:t>
      </w:r>
    </w:p>
    <w:p>
      <w:pPr>
        <w:spacing w:after="40" w:before="0"/>
        <w:ind w:left="400"/>
      </w:pPr>
      <w:r>
        <w:rPr>
          <w:rFonts w:ascii="Arial" w:cs="Arial" w:eastAsia="Arial" w:hAnsi="Arial"/>
          <w:color w:val="64748B"/>
          <w:sz w:val="18"/>
          <w:szCs w:val="18"/>
        </w:rPr>
        <w:t xml:space="preserve">Specialized 25-hour professional MOOC certification delivered by the UNESCO/IOC OceanTeacher Global Academy (OTGA) in partnership with the EU A-AAGORA project. Comprehensive training on designing and scaling real-world Nature-based Solutions (NbS) for coastal restoration, engaging local coastal communities, marine biodiversity protection, and climate resilience.</w:t>
      </w:r>
    </w:p>
    <w:p>
      <w:pPr>
        <w:pStyle w:val="ListParagraph"/>
        <w:numPr>
          <w:ilvl w:val="0"/>
          <w:numId w:val="1"/>
        </w:numPr>
        <w:spacing w:after="20" w:before="20"/>
      </w:pPr>
      <w:r>
        <w:rPr>
          <w:rFonts w:ascii="Arial" w:cs="Arial" w:eastAsia="Arial" w:hAnsi="Arial"/>
          <w:b/>
          <w:bCs/>
          <w:color w:val="1E293B"/>
          <w:sz w:val="19"/>
          <w:szCs w:val="19"/>
        </w:rPr>
        <w:t xml:space="preserve">Source-to-Sea (S2S) Management Course</w:t>
      </w:r>
      <w:r>
        <w:rPr>
          <w:rFonts w:ascii="Arial" w:cs="Arial" w:eastAsia="Arial" w:hAnsi="Arial"/>
          <w:color w:val="64748B"/>
          <w:sz w:val="18"/>
          <w:szCs w:val="18"/>
        </w:rPr>
        <w:t xml:space="preserve"> - Cap-Net UNDP, SIWI &amp; Action Platform for Source-to-Sea Management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Source-to-Sea (S2S) Governance, Integrated Water Resources Management (IWRM), Land-Sea Interaction Modeling, Freshwater &amp; Coastal Linkages, Upstream Pollution Abatement, Marine Spatial Governance</w:t>
      </w:r>
    </w:p>
    <w:p>
      <w:pPr>
        <w:spacing w:after="40" w:before="0"/>
        <w:ind w:left="400"/>
      </w:pPr>
      <w:r>
        <w:rPr>
          <w:rFonts w:ascii="Arial" w:cs="Arial" w:eastAsia="Arial" w:hAnsi="Arial"/>
          <w:color w:val="64748B"/>
          <w:sz w:val="18"/>
          <w:szCs w:val="18"/>
        </w:rPr>
        <w:t xml:space="preserve">Specialized international certification on holistic Source-to-Sea (S2S) management issued by Cap-Net UNDP, Stockholm International Water Institute (SIWI), and the Action Platform for Source-to-Sea Management. Comprehensive curriculum addressing transboundary river-coastal linkages, upstream land-based pollution mitigation, sediment and nutrient flow governance, and integrated watershed-to-marine ecosystem planning.</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(7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Diploma in Environmental Management</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Environmental Management Systems (EMS / ISO 14001), Environmental Impact Assessment (EIA / ESIA), Environmental Auditing &amp; Compliance, Pollution Prevention &amp; Control, Ecological Sustainability &amp; Resource Efficiency</w:t>
      </w:r>
    </w:p>
    <w:p>
      <w:pPr>
        <w:spacing w:after="40" w:before="0"/>
        <w:ind w:left="400"/>
      </w:pPr>
      <w:r>
        <w:rPr>
          <w:rFonts w:ascii="Arial" w:cs="Arial" w:eastAsia="Arial" w:hAnsi="Arial"/>
          <w:color w:val="64748B"/>
          <w:sz w:val="18"/>
          <w:szCs w:val="18"/>
        </w:rPr>
        <w:t xml:space="preserve">Comprehensive professional diploma in Environmental Management accredited by Alison (Credential ID: 1917-10374639), covering environmental management systems (ISO 14001), EIA/ESIA screening and scoping, environmental auditing and compliance standards, waste and water resource governance, pollution abatement protocols, and strategic ecological sustainability.</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5)</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2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40" w:before="0"/>
      </w:pPr>
      <w:r>
        <w:rPr>
          <w:rFonts w:ascii="Arial" w:cs="Arial" w:eastAsia="Arial" w:hAnsi="Arial"/>
          <w:color w:val="1E293B"/>
          <w:sz w:val="18"/>
          <w:szCs w:val="18"/>
        </w:rPr>
        <w:t xml:space="preserve">Summary: Research paper assessing spatial interactions and mitigation strategies between marine mammal populations and industrial tuna longline fisheries across Indonesian fishing zones.</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2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40" w:before="0"/>
      </w:pPr>
      <w:r>
        <w:rPr>
          <w:rFonts w:ascii="Arial" w:cs="Arial" w:eastAsia="Arial" w:hAnsi="Arial"/>
          <w:color w:val="1E293B"/>
          <w:sz w:val="18"/>
          <w:szCs w:val="18"/>
        </w:rPr>
        <w:t xml:space="preserve">Summary: Comprehensive peer-reviewed book chapter and field study documenting the distribution, ecology, and conservation status of Australian humpback dolphins in the Pacific and New Guinea.</w:t>
      </w:r>
    </w:p>
    <w:p>
      <w:pPr>
        <w:spacing w:after="20" w:before="80"/>
      </w:pPr>
      <w:r>
        <w:rPr>
          <w:rFonts w:ascii="Arial" w:cs="Arial" w:eastAsia="Arial" w:hAnsi="Arial"/>
          <w:b/>
          <w:bCs/>
          <w:color w:val="0F3A5D"/>
          <w:sz w:val="20"/>
          <w:szCs w:val="20"/>
        </w:rPr>
        <w:t xml:space="preserve">3. Application of Radon Transform Method for 2D Seismic Multiple Wave Reduction in West Sumatra Waters</w:t>
      </w:r>
    </w:p>
    <w:p>
      <w:pPr>
        <w:spacing w:after="20" w:before="0"/>
      </w:pPr>
      <w:r>
        <w:rPr>
          <w:rFonts w:ascii="Arial" w:cs="Arial" w:eastAsia="Arial" w:hAnsi="Arial"/>
          <w:color w:val="64748B"/>
          <w:sz w:val="18"/>
          <w:szCs w:val="18"/>
        </w:rPr>
        <w:t xml:space="preserve">Year: 2013  |  Publisher: IPB University Scientific Repository - Undergraduate Thesis (Advisor: Prof. Dr. Henry M. Manik)</w:t>
      </w:r>
      <w:r>
        <w:rPr>
          <w:rFonts w:ascii="Arial" w:cs="Arial" w:eastAsia="Arial" w:hAnsi="Arial"/>
          <w:color w:val="0D9488"/>
          <w:sz w:val="18"/>
          <w:szCs w:val="18"/>
        </w:rPr>
        <w:t xml:space="preserve">  |  Link: https://repository.ipb.ac.id/handle/123456789/63281</w:t>
      </w:r>
    </w:p>
    <w:p>
      <w:pPr>
        <w:spacing w:after="40" w:before="0"/>
      </w:pPr>
      <w:r>
        <w:rPr>
          <w:rFonts w:ascii="Arial" w:cs="Arial" w:eastAsia="Arial" w:hAnsi="Arial"/>
          <w:color w:val="1E293B"/>
          <w:sz w:val="18"/>
          <w:szCs w:val="18"/>
        </w:rPr>
        <w:t xml:space="preserve">Summary: Undergraduate research in marine geophysics and seismic data processing applying Radon Transform (Tau-P Analysis) to attenuate surface multiples on 2D marine seismic line SUME23.31 in West Sumatra waters.</w:t>
      </w:r>
    </w:p>
    <w:p>
      <w:pPr>
        <w:spacing w:after="20" w:before="80"/>
      </w:pPr>
      <w:r>
        <w:rPr>
          <w:rFonts w:ascii="Arial" w:cs="Arial" w:eastAsia="Arial" w:hAnsi="Arial"/>
          <w:b/>
          <w:bCs/>
          <w:color w:val="0F3A5D"/>
          <w:sz w:val="20"/>
          <w:szCs w:val="20"/>
        </w:rPr>
        <w:t xml:space="preserve">4. Sound of Fish Affects Fish Productivity</w:t>
      </w:r>
    </w:p>
    <w:p>
      <w:pPr>
        <w:spacing w:after="2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40" w:before="0"/>
      </w:pPr>
      <w:r>
        <w:rPr>
          <w:rFonts w:ascii="Arial" w:cs="Arial" w:eastAsia="Arial" w:hAnsi="Arial"/>
          <w:color w:val="1E293B"/>
          <w:sz w:val="18"/>
          <w:szCs w:val="18"/>
        </w:rPr>
        <w:t xml:space="preserve">Summary: National award-winning research innovation on passive acoustic detection and bioacoustic monitoring for fish productivity.</w:t>
      </w:r>
    </w:p>
    <w:p>
      <w:pPr>
        <w:spacing w:after="20" w:before="8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2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spacing w:after="40" w:before="0"/>
      </w:pPr>
      <w:r>
        <w:rPr>
          <w:rFonts w:ascii="Arial" w:cs="Arial" w:eastAsia="Arial" w:hAnsi="Arial"/>
          <w:color w:val="1E293B"/>
          <w:sz w:val="18"/>
          <w:szCs w:val="18"/>
        </w:rPr>
        <w:t xml:space="preserve">Summary: 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Key Essentials: The Global Biodiversity Framework, Sustainable Development and the Law </w:t>
      </w:r>
      <w:r>
        <w:rPr>
          <w:rFonts w:ascii="Arial" w:cs="Arial" w:eastAsia="Arial" w:hAnsi="Arial"/>
          <w:color w:val="64748B"/>
          <w:sz w:val="18"/>
          <w:szCs w:val="18"/>
        </w:rPr>
        <w:t xml:space="preserve">- Democratising Education for Global Sustainability and Justice (DemEd Global) / University of Cambridge</w:t>
      </w:r>
    </w:p>
    <w:p>
      <w:pPr>
        <w:spacing w:after="30" w:before="0"/>
        <w:ind w:left="360"/>
      </w:pPr>
      <w:r>
        <w:rPr>
          <w:rFonts w:ascii="Arial" w:cs="Arial" w:eastAsia="Arial" w:hAnsi="Arial"/>
          <w:color w:val="64748B"/>
          <w:sz w:val="17"/>
          <w:szCs w:val="17"/>
        </w:rPr>
        <w:t xml:space="preserve">Selected again through a highly competitive global selection process to receive a donor-funded scholarship, and successfully completed the executive short course on the Kunming-Montreal Global Biodiversity Framework (GBF), Sustainable Development and the Law, delivered by Lucy Cavendish College and Hughes Hall, University of Cambridge.</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Key Essentials: The Sustainable Development Goals and the Law </w:t>
      </w:r>
      <w:r>
        <w:rPr>
          <w:rFonts w:ascii="Arial" w:cs="Arial" w:eastAsia="Arial" w:hAnsi="Arial"/>
          <w:color w:val="64748B"/>
          <w:sz w:val="18"/>
          <w:szCs w:val="18"/>
        </w:rPr>
        <w:t xml:space="preserve">- Democratising Education for Global Sustainability and Justice (DemEd Global) / University of Cambridge</w:t>
      </w:r>
    </w:p>
    <w:p>
      <w:pPr>
        <w:spacing w:after="30" w:before="0"/>
        <w:ind w:left="360"/>
      </w:pPr>
      <w:r>
        <w:rPr>
          <w:rFonts w:ascii="Arial" w:cs="Arial" w:eastAsia="Arial" w:hAnsi="Arial"/>
          <w:color w:val="64748B"/>
          <w:sz w:val="17"/>
          <w:szCs w:val="17"/>
        </w:rPr>
        <w:t xml:space="preserve">Selected among 4,800+ global applicants across 150+ countries to receive a donor-funded scholarship for the intensive short course on Sustainable Development Goals and the Law, delivered by Lucy Cavendish College and Hughes Hall, University of Cambridge.</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UNITAR Green Economic Acceleration: A Japan-ASEAN Strategic Programme for Sustainable Green Finance </w:t>
      </w:r>
      <w:r>
        <w:rPr>
          <w:rFonts w:ascii="Arial" w:cs="Arial" w:eastAsia="Arial" w:hAnsi="Arial"/>
          <w:color w:val="64748B"/>
          <w:sz w:val="18"/>
          <w:szCs w:val="18"/>
        </w:rPr>
        <w:t xml:space="preserve">- United Nations Institute for Training and Research (UNITAR) and UN CC:Learn</w:t>
      </w:r>
    </w:p>
    <w:p>
      <w:pPr>
        <w:spacing w:after="30" w:before="0"/>
        <w:ind w:left="360"/>
      </w:pPr>
      <w:r>
        <w:rPr>
          <w:rFonts w:ascii="Arial" w:cs="Arial" w:eastAsia="Arial" w:hAnsi="Arial"/>
          <w:color w:val="64748B"/>
          <w:sz w:val="17"/>
          <w:szCs w:val="17"/>
        </w:rPr>
        <w:t xml:space="preserve">Selected through a competitive selection process among applicants across the ASEAN region for the Japan-ASEAN strategic initiative delivered by UNITAR. The program focuses on sustainable green finance mechanisms, bankable green project design, and regional policies driving the green economic transition.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 (Kemenristek/BRIN)</w:t>
      </w:r>
    </w:p>
    <w:p>
      <w:pPr>
        <w:spacing w:after="30" w:before="0"/>
        <w:ind w:left="360"/>
      </w:pPr>
      <w:r>
        <w:rPr>
          <w:rFonts w:ascii="Arial" w:cs="Arial" w:eastAsia="Arial" w:hAnsi="Arial"/>
          <w:color w:val="64748B"/>
          <w:sz w:val="17"/>
          <w:szCs w:val="17"/>
        </w:rPr>
        <w:t xml:space="preserve">National innovation recognition awarded for applied marine technology and sustainable fisheries innovation.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spacing w:after="30" w:before="0"/>
        <w:ind w:left="360"/>
      </w:pPr>
      <w:r>
        <w:rPr>
          <w:rFonts w:ascii="Arial" w:cs="Arial" w:eastAsia="Arial" w:hAnsi="Arial"/>
          <w:color w:val="64748B"/>
          <w:sz w:val="17"/>
          <w:szCs w:val="17"/>
        </w:rPr>
        <w:t xml:space="preserve">Selected candidate for the national economic and leadership acceleration initiative by Bank Indonesia Institute.</w:t>
      </w:r>
    </w:p>
    <w:p>
      <w:pPr>
        <w:pStyle w:val="ListParagraph"/>
        <w:numPr>
          <w:ilvl w:val="0"/>
          <w:numId w:val="1"/>
        </w:numPr>
        <w:spacing w:after="2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Featured Speaker at DigiFish Incubating Ecosystem of Digital Innovation </w:t>
      </w:r>
      <w:r>
        <w:rPr>
          <w:rFonts w:ascii="Arial" w:cs="Arial" w:eastAsia="Arial" w:hAnsi="Arial"/>
          <w:color w:val="64748B"/>
          <w:sz w:val="18"/>
          <w:szCs w:val="18"/>
        </w:rPr>
        <w:t xml:space="preserve">- DigiFish Network &amp; Ministry of Marine Affairs and Fisheries (KKP)</w:t>
      </w:r>
    </w:p>
    <w:p>
      <w:pPr>
        <w:spacing w:after="30" w:before="0"/>
        <w:ind w:left="360"/>
      </w:pPr>
      <w:r>
        <w:rPr>
          <w:rFonts w:ascii="Arial" w:cs="Arial" w:eastAsia="Arial" w:hAnsi="Arial"/>
          <w:color w:val="64748B"/>
          <w:sz w:val="17"/>
          <w:szCs w:val="17"/>
        </w:rPr>
        <w:t xml:space="preserve">Invited keynote and expert speaker on digital transformation, satellite VMS, and IoT smart aquaculture platforms.</w:t>
      </w:r>
    </w:p>
    <w:p>
      <w:pPr>
        <w:pStyle w:val="ListParagraph"/>
        <w:numPr>
          <w:ilvl w:val="0"/>
          <w:numId w:val="1"/>
        </w:numPr>
        <w:spacing w:after="2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 &amp; Kemenpora RI</w:t>
      </w:r>
    </w:p>
    <w:p>
      <w:pPr>
        <w:spacing w:after="30" w:before="0"/>
        <w:ind w:left="360"/>
      </w:pPr>
      <w:r>
        <w:rPr>
          <w:rFonts w:ascii="Arial" w:cs="Arial" w:eastAsia="Arial" w:hAnsi="Arial"/>
          <w:color w:val="64748B"/>
          <w:sz w:val="17"/>
          <w:szCs w:val="17"/>
        </w:rPr>
        <w:t xml:space="preserve">Recognized among top national youth innovators for applied environmental and acoustic research.</w:t>
      </w:r>
    </w:p>
    <w:p>
      <w:pPr>
        <w:pStyle w:val="ListParagraph"/>
        <w:numPr>
          <w:ilvl w:val="0"/>
          <w:numId w:val="1"/>
        </w:numPr>
        <w:spacing w:after="2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spacing w:after="30" w:before="0"/>
        <w:ind w:left="360"/>
      </w:pPr>
      <w:r>
        <w:rPr>
          <w:rFonts w:ascii="Arial" w:cs="Arial" w:eastAsia="Arial" w:hAnsi="Arial"/>
          <w:color w:val="64748B"/>
          <w:sz w:val="17"/>
          <w:szCs w:val="17"/>
        </w:rPr>
        <w:t xml:space="preserve">Selected youth parliamentary representative advocating coastal governance, archipelagic policy, and marine conservation.</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spacing w:after="30" w:before="0"/>
        <w:ind w:left="360"/>
      </w:pPr>
      <w:r>
        <w:rPr>
          <w:rFonts w:ascii="Arial" w:cs="Arial" w:eastAsia="Arial" w:hAnsi="Arial"/>
          <w:color w:val="64748B"/>
          <w:sz w:val="17"/>
          <w:szCs w:val="17"/>
        </w:rPr>
        <w:t xml:space="preserve">Awarded for pioneering undergraduate research on bioacoustics and acoustic fish behavior.</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spacing w:after="30" w:before="0"/>
        <w:ind w:left="360"/>
      </w:pPr>
      <w:r>
        <w:rPr>
          <w:rFonts w:ascii="Arial" w:cs="Arial" w:eastAsia="Arial" w:hAnsi="Arial"/>
          <w:color w:val="64748B"/>
          <w:sz w:val="17"/>
          <w:szCs w:val="17"/>
        </w:rPr>
        <w:t xml:space="preserve">Selected participant for intensive student leadership and governance camp.</w:t>
      </w:r>
    </w:p>
    <w:p>
      <w:pPr>
        <w:pBdr>
          <w:bottom w:val="single" w:color="0D9488" w:sz="12" w:space="4"/>
        </w:pBdr>
        <w:spacing w:after="80" w:before="280"/>
      </w:pPr>
      <w:r>
        <w:rPr>
          <w:rFonts w:ascii="Arial" w:cs="Arial" w:eastAsia="Arial" w:hAnsi="Arial"/>
          <w:b/>
          <w:bCs/>
          <w:color w:val="0F3A5D"/>
          <w:sz w:val="24"/>
          <w:szCs w:val="24"/>
        </w:rPr>
        <w:t xml:space="preserve">PROFESSIONAL MEMBERSHIPS &amp; ACADEMIC AFFILIATIONS</w:t>
      </w:r>
    </w:p>
    <w:p>
      <w:pPr>
        <w:pStyle w:val="ListParagraph"/>
        <w:numPr>
          <w:ilvl w:val="0"/>
          <w:numId w:val="1"/>
        </w:numPr>
        <w:spacing w:after="20" w:before="20"/>
      </w:pPr>
      <w:r>
        <w:rPr>
          <w:rFonts w:ascii="Arial" w:cs="Arial" w:eastAsia="Arial" w:hAnsi="Arial"/>
          <w:b/>
          <w:bCs/>
          <w:color w:val="0F3A5D"/>
          <w:sz w:val="19"/>
          <w:szCs w:val="19"/>
        </w:rPr>
        <w:t xml:space="preserve">Asian Fisheries Acoustics Society (AFAS) </w:t>
      </w:r>
      <w:r>
        <w:rPr>
          <w:rFonts w:ascii="Arial" w:cs="Arial" w:eastAsia="Arial" w:hAnsi="Arial"/>
          <w:color w:val="1E293B"/>
          <w:sz w:val="18"/>
          <w:szCs w:val="18"/>
        </w:rPr>
        <w:t xml:space="preserve">- Member (2012 - Present)</w:t>
      </w:r>
    </w:p>
    <w:p>
      <w:pPr>
        <w:spacing w:after="30" w:before="0"/>
        <w:ind w:left="360"/>
      </w:pPr>
      <w:r>
        <w:rPr>
          <w:rFonts w:ascii="Arial" w:cs="Arial" w:eastAsia="Arial" w:hAnsi="Arial"/>
          <w:color w:val="64748B"/>
          <w:sz w:val="17"/>
          <w:szCs w:val="17"/>
        </w:rPr>
        <w:t xml:space="preserve">Active member contributing to regional advancements in underwater bioacoustics, fisheries acoustic survey technologies, optical-acoustic integration, and marine ecosystem monitoring.</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Contact available upon request</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Bogor Agricultural University (IPB University)</w:t>
      </w:r>
    </w:p>
    <w:p>
      <w:pPr>
        <w:spacing w:after="80" w:before="0"/>
      </w:pPr>
      <w:r>
        <w:rPr>
          <w:rFonts w:ascii="Arial" w:cs="Arial" w:eastAsia="Arial" w:hAnsi="Arial"/>
          <w:color w:val="64748B"/>
          <w:sz w:val="18"/>
          <w:szCs w:val="18"/>
        </w:rPr>
        <w:t xml:space="preserve">Contact available upon request</w:t>
      </w:r>
    </w:p>
    <w:p>
      <w:pPr>
        <w:spacing w:after="20" w:before="60"/>
      </w:pPr>
      <w:r>
        <w:rPr>
          <w:rFonts w:ascii="Arial" w:cs="Arial" w:eastAsia="Arial" w:hAnsi="Arial"/>
          <w:b/>
          <w:bCs/>
          <w:color w:val="0F3A5D"/>
          <w:sz w:val="20"/>
          <w:szCs w:val="20"/>
        </w:rPr>
        <w:t xml:space="preserve">Prof. Henry M. Manik, S.Pi., M.T., Ph.D.</w:t>
      </w:r>
      <w:r>
        <w:rPr>
          <w:rFonts w:ascii="Arial" w:cs="Arial" w:eastAsia="Arial" w:hAnsi="Arial"/>
          <w:color w:val="1E293B"/>
          <w:sz w:val="19"/>
          <w:szCs w:val="19"/>
        </w:rPr>
        <w:t xml:space="preserve"> - Professor of Ocean Acoustics and Instrumentation, Department of Marine Science and Technology, IPB University</w:t>
      </w:r>
    </w:p>
    <w:p>
      <w:pPr>
        <w:spacing w:after="80" w:before="0"/>
      </w:pPr>
      <w:r>
        <w:rPr>
          <w:rFonts w:ascii="Arial" w:cs="Arial" w:eastAsia="Arial" w:hAnsi="Arial"/>
          <w:color w:val="64748B"/>
          <w:sz w:val="18"/>
          <w:szCs w:val="18"/>
        </w:rPr>
        <w:t xml:space="preserve">Contact available upon request</w:t>
      </w:r>
    </w:p>
    <w:p>
      <w:pPr>
        <w:spacing w:after="20" w:before="60"/>
      </w:pPr>
      <w:r>
        <w:rPr>
          <w:rFonts w:ascii="Arial" w:cs="Arial" w:eastAsia="Arial" w:hAnsi="Arial"/>
          <w:b/>
          <w:bCs/>
          <w:color w:val="0F3A5D"/>
          <w:sz w:val="20"/>
          <w:szCs w:val="20"/>
        </w:rPr>
        <w:t xml:space="preserve">Dr. Windi Al Zahra</w:t>
      </w:r>
      <w:r>
        <w:rPr>
          <w:rFonts w:ascii="Arial" w:cs="Arial" w:eastAsia="Arial" w:hAnsi="Arial"/>
          <w:color w:val="1E293B"/>
          <w:sz w:val="19"/>
          <w:szCs w:val="19"/>
        </w:rPr>
        <w:t xml:space="preserve"> - Senior Researcher / Climate &amp; Environmental Specialist, Centre for Climate Risk and Opportunity Management (CCROM SEAP), IPB University</w:t>
      </w:r>
    </w:p>
    <w:p>
      <w:pPr>
        <w:spacing w:after="80" w:before="0"/>
      </w:pPr>
      <w:r>
        <w:rPr>
          <w:rFonts w:ascii="Arial" w:cs="Arial" w:eastAsia="Arial" w:hAnsi="Arial"/>
          <w:color w:val="64748B"/>
          <w:sz w:val="18"/>
          <w:szCs w:val="18"/>
        </w:rPr>
        <w:t xml:space="preserve">Contact available upon request</w:t>
      </w:r>
    </w:p>
    <w:p>
      <w:pPr>
        <w:spacing w:after="20" w:before="60"/>
      </w:pPr>
      <w:r>
        <w:rPr>
          <w:rFonts w:ascii="Arial" w:cs="Arial" w:eastAsia="Arial" w:hAnsi="Arial"/>
          <w:b/>
          <w:bCs/>
          <w:color w:val="0F3A5D"/>
          <w:sz w:val="20"/>
          <w:szCs w:val="20"/>
        </w:rPr>
        <w:t xml:space="preserve">Dias Natasasmita</w:t>
      </w:r>
      <w:r>
        <w:rPr>
          <w:rFonts w:ascii="Arial" w:cs="Arial" w:eastAsia="Arial" w:hAnsi="Arial"/>
          <w:color w:val="1E293B"/>
          <w:sz w:val="19"/>
          <w:szCs w:val="19"/>
        </w:rPr>
        <w:t xml:space="preserve"> - Marine Specialist, World Bank Group</w:t>
      </w:r>
    </w:p>
    <w:p>
      <w:pPr>
        <w:spacing w:after="80" w:before="0"/>
      </w:pPr>
      <w:r>
        <w:rPr>
          <w:rFonts w:ascii="Arial" w:cs="Arial" w:eastAsia="Arial" w:hAnsi="Arial"/>
          <w:color w:val="64748B"/>
          <w:sz w:val="18"/>
          <w:szCs w:val="18"/>
        </w:rPr>
        <w:t xml:space="preserve">Contact available upon request</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2026-10-21T02:15:49.134Z</dcterms:created>
  <dcterms:modified xsi:type="dcterms:W3CDTF">2026-10-21T02:15:49.135Z</dcterms:modified>
</cp:coreProperties>
</file>

<file path=docProps/custom.xml><?xml version="1.0" encoding="utf-8"?>
<Properties xmlns="http://schemas.openxmlformats.org/officeDocument/2006/custom-properties" xmlns:vt="http://schemas.openxmlformats.org/officeDocument/2006/docPropsVTypes"/>
</file>