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leadership across marine-based sectors, forest concessions, and industrial waste decarbonization. Formally trained in marine science and acoustics (IPB University), with expertise spanning coastal and ocean governance, sustainable fisheries, forest concession area, and carbon mitigation across AFOLU (&gt;200,000 ha peatland/wetland concessions in Papua) and Waste sectors (Palm Oil Mill Effluent / POME methane capture &amp; biogas-to-energy). Proven track record with major international institutions (World Bank, ADB, FAO, UNDP, TNC) and national innovation award recognition (BIC). Highly skilled in carbon accounting (carbon unit registry system of Indonesia, VCM, Paris Agreement Article 6), MRV, environmental safeguards (ESIA/AMDAL), and multi-stakeholder engagement.</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29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"Application of Radon Transform Method for 2D Seismic Multiple Wave Reduction in West Sumatra Waters" (Advisor: Prof.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(carbon unit registry system of Indonesia, IDXCarbon, and international compliance). Directing the development, technical review, and validation of Project Design Documents and Climate Mitigation Action Plan Documents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&gt;200,000 hectares of peatlands and wetlands concessions in West Papua and Southwest Papua, embedding ESG frameworks, Verra VCS + CCB, Verra SD VISta (Sustainable Development Verified Impact Standard), Verra Nature Framework, ART TREES, and high-integrity nature and biodiversity credit standards.</w:t>
      </w:r>
    </w:p>
    <w:p>
      <w:pPr>
        <w:spacing w:after="20" w:before="100"/>
      </w:pPr>
      <w:r>
        <w:rPr>
          <w:rFonts w:ascii="Arial" w:cs="Arial" w:eastAsia="Arial" w:hAnsi="Arial"/>
          <w:b/>
          <w:bCs/>
          <w:color w:val="0F3A5D"/>
          <w:sz w:val="21"/>
          <w:szCs w:val="21"/>
        </w:rPr>
        <w:t xml:space="preserve">2. Project Manager</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wetland ecosystem restoration concessions (&gt;200,000 ha) across West Papua and Southwest Papua.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local customary communities. Led regulatory liaison and licensing with the Ministry of Environment and Forestry (MoEF / KLHK) and Ministry of Marine Affairs and Fisheries (KKP). Formulated comprehensive Environmental &amp; Social Management Plans (ESMP), environmental and social compliance,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multiple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with dedicated visual observation during 2D and Transition Zone (TZ) marine seismic surveys for KrisEnergy (Udan Emas) BV in Arguni Bay, West Papua. Enforced pre-shooting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29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forest concession ecosystem restoration and carbon project licensing, ensuring full alignment with local customary land rights.</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(carbon unit registry system of Indonesia, Verra VCS + CCB, SD VISta, and Nature Framework),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Served as National Focal Point, 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11.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12.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13.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14.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15.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16.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17.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18.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19.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20.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21. Scientific Assessment of Marine Mammal Interactions with Commercial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100"/>
      </w:pPr>
      <w:r>
        <w:rPr>
          <w:rFonts w:ascii="Arial" w:cs="Arial" w:eastAsia="Arial" w:hAnsi="Arial"/>
          <w:b/>
          <w:bCs/>
          <w:color w:val="0F3A5D"/>
          <w:sz w:val="20"/>
          <w:szCs w:val="20"/>
        </w:rPr>
        <w:t xml:space="preserve">22.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23.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24.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25.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26.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27.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100"/>
      </w:pPr>
      <w:r>
        <w:rPr>
          <w:rFonts w:ascii="Arial" w:cs="Arial" w:eastAsia="Arial" w:hAnsi="Arial"/>
          <w:b/>
          <w:bCs/>
          <w:color w:val="0F3A5D"/>
          <w:sz w:val="20"/>
          <w:szCs w:val="20"/>
        </w:rPr>
        <w:t xml:space="preserve">28. Sustainable Tuna Fisheries Management Based on Acoustic Measurement, Length-Based Assessment, and FAD Management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The Nature Conservancy (TNC)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December 2017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&amp; FISHERIES GOVERNANCE</w:t>
      </w:r>
    </w:p>
    <w:p>
      <w:pPr>
        <w:spacing w:after="100" w:before="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100"/>
      </w:pPr>
      <w:r>
        <w:rPr>
          <w:rFonts w:ascii="Arial" w:cs="Arial" w:eastAsia="Arial" w:hAnsi="Arial"/>
          <w:b/>
          <w:bCs/>
          <w:color w:val="0F3A5D"/>
          <w:sz w:val="20"/>
          <w:szCs w:val="20"/>
        </w:rPr>
        <w:t xml:space="preserve">29. Marine Mammal Monitoring and Mitigation Plan for 3D Marine Seismic Acquisition in Mentawai Block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Total E&amp;P Indonesie Mentawai B.V. / PPLH IPB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2015 - January 2016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ENVIRONMENTAL ASSESSMENT &amp; SAFEGUARDS</w:t>
      </w:r>
    </w:p>
    <w:p>
      <w:pPr>
        <w:spacing w:after="100" w:before="0"/>
      </w:pPr>
      <w:r>
        <w:rPr>
          <w:rFonts w:ascii="Arial" w:cs="Arial" w:eastAsia="Arial" w:hAnsi="Arial"/>
          <w:color w:val="1E293B"/>
          <w:sz w:val="19"/>
          <w:szCs w:val="19"/>
        </w:rPr>
        <w:t xml:space="preserve">Led technical health, safety, and environmental (HSE) protocols and JNCC-compliant Marine Mammal Observation (MMO) with dedicated visual observation during the deep-water 3D marine seismic survey using airgun arrays in the Total E&amp;P Indonesie Mentawai B.V. Block (Indian Ocean). Executed 360-degree pre-shooting visual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72)</w:t>
      </w:r>
    </w:p>
    <w:p>
      <w:pPr>
        <w:spacing w:after="40" w:before="140"/>
      </w:pPr>
      <w:r>
        <w:rPr>
          <w:rFonts w:ascii="Arial" w:cs="Arial" w:eastAsia="Arial" w:hAnsi="Arial"/>
          <w:b/>
          <w:bCs/>
          <w:color w:val="0F3A5D"/>
          <w:sz w:val="21"/>
          <w:szCs w:val="21"/>
        </w:rPr>
        <w:t xml:space="preserve">1. Carbon, Climate &amp; Ecosystem Services (Blue Carbon, Forest Carbon &amp; Climate Finance) (22 Programs)</w:t>
      </w:r>
    </w:p>
    <w:p>
      <w:pPr>
        <w:pStyle w:val="ListParagraph"/>
        <w:numPr>
          <w:ilvl w:val="0"/>
          <w:numId w:val="1"/>
        </w:numPr>
        <w:spacing w:after="20" w:before="20"/>
      </w:pPr>
      <w:r>
        <w:rPr>
          <w:rFonts w:ascii="Arial" w:cs="Arial" w:eastAsia="Arial" w:hAnsi="Arial"/>
          <w:b/>
          <w:bCs/>
          <w:color w:val="1E293B"/>
          <w:sz w:val="19"/>
          <w:szCs w:val="19"/>
        </w:rPr>
        <w:t xml:space="preserve">Operationalizing Article 6.2 of the Paris Agreement: Achieving Ambitious Climate Action Through Cooperative Approaches</w:t>
      </w:r>
      <w:r>
        <w:rPr>
          <w:rFonts w:ascii="Arial" w:cs="Arial" w:eastAsia="Arial" w:hAnsi="Arial"/>
          <w:color w:val="64748B"/>
          <w:sz w:val="18"/>
          <w:szCs w:val="18"/>
        </w:rPr>
        <w:t xml:space="preserve"> - United Nations Development Programme (UNDP), UNFCCC &amp; Learning for Nature (Oct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Governance, Internationally Transferred Mitigation Outcomes (ITMOs), Bilateral Cooperative Approaches, Corresponding Adjustments &amp; NDC Accounting, National Registry &amp; Tracking, Authorization Frameworks</w:t>
      </w:r>
    </w:p>
    <w:p>
      <w:pPr>
        <w:spacing w:after="40" w:before="0"/>
        <w:ind w:left="400"/>
      </w:pPr>
      <w:r>
        <w:rPr>
          <w:rFonts w:ascii="Arial" w:cs="Arial" w:eastAsia="Arial" w:hAnsi="Arial"/>
          <w:color w:val="64748B"/>
          <w:sz w:val="18"/>
          <w:szCs w:val="18"/>
        </w:rPr>
        <w:t xml:space="preserve">Specialized training certification developed by UNDP in partnership with the UNFCCC and delivered via Learning for Nature / UN CC:Learn. Covers key requirements and national building blocks for operationalizing Article 6.2 cooperative approaches, including bilateral trading of Internationally Transferred Mitigation Outcomes (ITMOs), robust NDC accounting, avoiding double-counting with corresponding adjustments, and institutional arrangements.</w:t>
      </w:r>
    </w:p>
    <w:p>
      <w:pPr>
        <w:pStyle w:val="ListParagraph"/>
        <w:numPr>
          <w:ilvl w:val="0"/>
          <w:numId w:val="1"/>
        </w:numPr>
        <w:spacing w:after="20" w:before="20"/>
      </w:pPr>
      <w:r>
        <w:rPr>
          <w:rFonts w:ascii="Arial" w:cs="Arial" w:eastAsia="Arial" w:hAnsi="Arial"/>
          <w:b/>
          <w:bCs/>
          <w:color w:val="1E293B"/>
          <w:sz w:val="19"/>
          <w:szCs w:val="19"/>
        </w:rPr>
        <w:t xml:space="preserve">Introduction to Biodiversity Credits (Learning Journey)</w:t>
      </w:r>
      <w:r>
        <w:rPr>
          <w:rFonts w:ascii="Arial" w:cs="Arial" w:eastAsia="Arial" w:hAnsi="Arial"/>
          <w:color w:val="64748B"/>
          <w:sz w:val="18"/>
          <w:szCs w:val="18"/>
        </w:rPr>
        <w:t xml:space="preserve"> - Biodiversity Credit Alliance (BCA), Nature for Life Hub &amp; University of Nottingham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Biodiversity Credits Framework, High-Integrity Nature Credits, Biodiversity Credit Alliance (BCA) Principles, Nature-Positive Market Mechanisms, Indigenous &amp; Community Rights (IPLC Safeguards), Biodiversity Metrics &amp; Monitoring</w:t>
      </w:r>
    </w:p>
    <w:p>
      <w:pPr>
        <w:spacing w:after="40" w:before="0"/>
        <w:ind w:left="400"/>
      </w:pPr>
      <w:r>
        <w:rPr>
          <w:rFonts w:ascii="Arial" w:cs="Arial" w:eastAsia="Arial" w:hAnsi="Arial"/>
          <w:color w:val="64748B"/>
          <w:sz w:val="18"/>
          <w:szCs w:val="18"/>
        </w:rPr>
        <w:t xml:space="preserve">Specialized learning journey certification on biodiversity credits awarded by the Biodiversity Credit Alliance (BCA) and Nature for Life Hub in collaboration with the University of Nottingham. Comprehensive training on high-integrity biodiversity credit markets, nature-positive crediting mechanisms, biodiversity metrics, integrity governance, and community benefit-sharing models.</w:t>
      </w:r>
    </w:p>
    <w:p>
      <w:pPr>
        <w:pStyle w:val="ListParagraph"/>
        <w:numPr>
          <w:ilvl w:val="0"/>
          <w:numId w:val="1"/>
        </w:numPr>
        <w:spacing w:after="20" w:before="20"/>
      </w:pPr>
      <w:r>
        <w:rPr>
          <w:rFonts w:ascii="Arial" w:cs="Arial" w:eastAsia="Arial" w:hAnsi="Arial"/>
          <w:b/>
          <w:bCs/>
          <w:color w:val="1E293B"/>
          <w:sz w:val="19"/>
          <w:szCs w:val="19"/>
        </w:rPr>
        <w:t xml:space="preserve">Climate Finance Transparency</w:t>
      </w:r>
      <w:r>
        <w:rPr>
          <w:rFonts w:ascii="Arial" w:cs="Arial" w:eastAsia="Arial" w:hAnsi="Arial"/>
          <w:color w:val="64748B"/>
          <w:sz w:val="18"/>
          <w:szCs w:val="18"/>
        </w:rPr>
        <w:t xml:space="preserve"> - Initiative for Climate Action Transparency (ICAT)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Climate Finance Tracking, Enhanced Transparency Framework (ETF), Article 9 &amp; 13 Paris Agreement, Climate Finance Needs Assessment, Climate Finance Mobilization, Transparency Metrics &amp; MRV</w:t>
      </w:r>
    </w:p>
    <w:p>
      <w:pPr>
        <w:spacing w:after="40" w:before="0"/>
        <w:ind w:left="400"/>
      </w:pPr>
      <w:r>
        <w:rPr>
          <w:rFonts w:ascii="Arial" w:cs="Arial" w:eastAsia="Arial" w:hAnsi="Arial"/>
          <w:color w:val="64748B"/>
          <w:sz w:val="18"/>
          <w:szCs w:val="18"/>
        </w:rPr>
        <w:t xml:space="preserve">Professional certification developed by the Initiative for Climate Action Transparency (ICAT) on Learning for Nature. Comprehensive training on establishing national climate finance tracking frameworks, assessing financial needs for mitigation and adaptation, mapping climate finance flows, and aligning with the Paris Agreement's Enhanced Transparency Framework (ETF).</w:t>
      </w:r>
    </w:p>
    <w:p>
      <w:pPr>
        <w:pStyle w:val="ListParagraph"/>
        <w:numPr>
          <w:ilvl w:val="0"/>
          <w:numId w:val="1"/>
        </w:numPr>
        <w:spacing w:after="20" w:before="20"/>
      </w:pPr>
      <w:r>
        <w:rPr>
          <w:rFonts w:ascii="Arial" w:cs="Arial" w:eastAsia="Arial" w:hAnsi="Arial"/>
          <w:b/>
          <w:bCs/>
          <w:color w:val="1E293B"/>
          <w:sz w:val="19"/>
          <w:szCs w:val="19"/>
        </w:rPr>
        <w:t xml:space="preserve">Biodiversity Finance: Designing and Implementing Finance Plans for Nature</w:t>
      </w:r>
      <w:r>
        <w:rPr>
          <w:rFonts w:ascii="Arial" w:cs="Arial" w:eastAsia="Arial" w:hAnsi="Arial"/>
          <w:color w:val="64748B"/>
          <w:sz w:val="18"/>
          <w:szCs w:val="18"/>
        </w:rPr>
        <w:t xml:space="preserve"> - UNDP Biodiversity Finance Initiative (BIOFIN)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BIOFIN Methodology, Biodiversity Expenditure Review (BER), Financial Needs Assessment (FNA), Biodiversity Finance Plan (BFP), Nature-Positive Finance Mechanisms, Sustainable Blended Finance &amp; Impact Investment</w:t>
      </w:r>
    </w:p>
    <w:p>
      <w:pPr>
        <w:spacing w:after="40" w:before="0"/>
        <w:ind w:left="400"/>
      </w:pPr>
      <w:r>
        <w:rPr>
          <w:rFonts w:ascii="Arial" w:cs="Arial" w:eastAsia="Arial" w:hAnsi="Arial"/>
          <w:color w:val="64748B"/>
          <w:sz w:val="18"/>
          <w:szCs w:val="18"/>
        </w:rPr>
        <w:t xml:space="preserve">Comprehensive 12-hour specialized professional course developed by the UNDP Biodiversity Finance Initiative (BIOFIN) on Learning for Nature, based on the BIOFIN Workbook 2024. Covers the complete BIOFIN national methodology: Policy and Institutional Review (PIR), Biodiversity Expenditure Review (BER), Financial Needs Assessment (FNA), and designing and mobilizing high-impact national Biodiversity Finance Plans (BFP) to close global biodiversity financing gaps.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Article 6 Decision-Making: Training for Practitioners</w:t>
      </w:r>
      <w:r>
        <w:rPr>
          <w:rFonts w:ascii="Arial" w:cs="Arial" w:eastAsia="Arial" w:hAnsi="Arial"/>
          <w:color w:val="64748B"/>
          <w:sz w:val="18"/>
          <w:szCs w:val="18"/>
        </w:rPr>
        <w:t xml:space="preserve"> - Paris Agreement Article 6 Implementation Partnership (A6IP) Center, Perspectives Climate Research &amp; GHGMI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&amp; 6.4, Internationally Transferred Mitigation Outcomes (ITMOs), Carbon Market Decision-Making, Corresponding Adjustments, GHG Accounting &amp; MRV, Carbon Crediting Mechanisms, Institutional Arrangements</w:t>
      </w:r>
    </w:p>
    <w:p>
      <w:pPr>
        <w:spacing w:after="40" w:before="0"/>
        <w:ind w:left="400"/>
      </w:pPr>
      <w:r>
        <w:rPr>
          <w:rFonts w:ascii="Arial" w:cs="Arial" w:eastAsia="Arial" w:hAnsi="Arial"/>
          <w:color w:val="64748B"/>
          <w:sz w:val="18"/>
          <w:szCs w:val="18"/>
        </w:rPr>
        <w:t xml:space="preserve">Advanced professional training for carbon market practitioners developed by Perspectives Climate Research and the Greenhouse Gas Management Institute (GHGMI), supported by the Paris Agreement Article 6 Implementation Partnership (A6IP) Center, Ministry of the Environment Japan (MOEJ), and BMWK Germany. Rigorous curriculum covering strategic evaluation of Article 6 mechanisms (6.2 cooperative approaches and 6.4 crediting mechanism), international carbon market dynamics, project-level GHG accounting, corresponding adjustments, and national institutional readiness for market-based mitigation.</w:t>
      </w:r>
    </w:p>
    <w:p>
      <w:pPr>
        <w:pStyle w:val="ListParagraph"/>
        <w:numPr>
          <w:ilvl w:val="0"/>
          <w:numId w:val="1"/>
        </w:numPr>
        <w:spacing w:after="20" w:before="20"/>
      </w:pPr>
      <w:r>
        <w:rPr>
          <w:rFonts w:ascii="Arial" w:cs="Arial" w:eastAsia="Arial" w:hAnsi="Arial"/>
          <w:b/>
          <w:bCs/>
          <w:color w:val="1E293B"/>
          <w:sz w:val="19"/>
          <w:szCs w:val="19"/>
        </w:rPr>
        <w:t xml:space="preserve">201 Basics of Organizational GHG Accounting (Certificate of Proficiency)</w:t>
      </w:r>
      <w:r>
        <w:rPr>
          <w:rFonts w:ascii="Arial" w:cs="Arial" w:eastAsia="Arial" w:hAnsi="Arial"/>
          <w:color w:val="64748B"/>
          <w:sz w:val="18"/>
          <w:szCs w:val="18"/>
        </w:rPr>
        <w:t xml:space="preserve"> - The Greenhouse Gas Management Institute (GHGMI)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Organizational GHG Accounting, GHG Protocol Corporate Standard, ISO 14064-1, Scope 1, Scope 2 &amp; Scope 3 Emissions, Inventory Quality Management, Baseline Recalculation</w:t>
      </w:r>
    </w:p>
    <w:p>
      <w:pPr>
        <w:spacing w:after="40" w:before="0"/>
        <w:ind w:left="400"/>
      </w:pPr>
      <w:r>
        <w:rPr>
          <w:rFonts w:ascii="Arial" w:cs="Arial" w:eastAsia="Arial" w:hAnsi="Arial"/>
          <w:color w:val="64748B"/>
          <w:sz w:val="18"/>
          <w:szCs w:val="18"/>
        </w:rPr>
        <w:t xml:space="preserve">Formal professional certificate of proficiency issued by the Greenhouse Gas Management Institute (GHGMI) under Dean Michael Gillenwater (Credential Code: 201EX2046 / BOGAEX2046). Rigorous curriculum covering organizational carbon accounting principles, organizational and operational boundary setting, Scope 1, 2, and 3 emission quantification methodologies, activity data collection, emission factor selection, and uncertainty management aligned with the GHG Protocol and ISO 14064.</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(18 Programs)</w:t>
      </w:r>
    </w:p>
    <w:p>
      <w:pPr>
        <w:pStyle w:val="ListParagraph"/>
        <w:numPr>
          <w:ilvl w:val="0"/>
          <w:numId w:val="1"/>
        </w:numPr>
        <w:spacing w:after="20" w:before="20"/>
      </w:pPr>
      <w:r>
        <w:rPr>
          <w:rFonts w:ascii="Arial" w:cs="Arial" w:eastAsia="Arial" w:hAnsi="Arial"/>
          <w:b/>
          <w:bCs/>
          <w:color w:val="1E293B"/>
          <w:sz w:val="19"/>
          <w:szCs w:val="19"/>
        </w:rPr>
        <w:t xml:space="preserve">Building Skills for Coastal Restoration with Nature and People</w:t>
      </w:r>
      <w:r>
        <w:rPr>
          <w:rFonts w:ascii="Arial" w:cs="Arial" w:eastAsia="Arial" w:hAnsi="Arial"/>
          <w:color w:val="64748B"/>
          <w:sz w:val="18"/>
          <w:szCs w:val="18"/>
        </w:rPr>
        <w:t xml:space="preserve"> - UNESCO/IOC OceanTeacher Global Academy (OTGA) &amp; A-AAGORA Project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Coastal Ecosystem Restoration, Nature-based Solutions (NbS), Community-Led Marine Stewardship, Marine Spatial Planning, Biodiversity Enhancement, Ecosystem Resilience</w:t>
      </w:r>
    </w:p>
    <w:p>
      <w:pPr>
        <w:spacing w:after="40" w:before="0"/>
        <w:ind w:left="400"/>
      </w:pPr>
      <w:r>
        <w:rPr>
          <w:rFonts w:ascii="Arial" w:cs="Arial" w:eastAsia="Arial" w:hAnsi="Arial"/>
          <w:color w:val="64748B"/>
          <w:sz w:val="18"/>
          <w:szCs w:val="18"/>
        </w:rPr>
        <w:t xml:space="preserve">Specialized 25-hour professional MOOC certification delivered by the UNESCO/IOC OceanTeacher Global Academy (OTGA) in partnership with the EU A-AAGORA project. Comprehensive training on designing and scaling real-world Nature-based Solutions (NbS) for coastal restoration, engaging local coastal communities, marine biodiversity protection, and climate resilience.</w:t>
      </w:r>
    </w:p>
    <w:p>
      <w:pPr>
        <w:pStyle w:val="ListParagraph"/>
        <w:numPr>
          <w:ilvl w:val="0"/>
          <w:numId w:val="1"/>
        </w:numPr>
        <w:spacing w:after="20" w:before="20"/>
      </w:pPr>
      <w:r>
        <w:rPr>
          <w:rFonts w:ascii="Arial" w:cs="Arial" w:eastAsia="Arial" w:hAnsi="Arial"/>
          <w:b/>
          <w:bCs/>
          <w:color w:val="1E293B"/>
          <w:sz w:val="19"/>
          <w:szCs w:val="19"/>
        </w:rPr>
        <w:t xml:space="preserve">Source-to-Sea (S2S) Management Course</w:t>
      </w:r>
      <w:r>
        <w:rPr>
          <w:rFonts w:ascii="Arial" w:cs="Arial" w:eastAsia="Arial" w:hAnsi="Arial"/>
          <w:color w:val="64748B"/>
          <w:sz w:val="18"/>
          <w:szCs w:val="18"/>
        </w:rPr>
        <w:t xml:space="preserve"> - Cap-Net UNDP, SIWI &amp; Action Platform for Source-to-Sea Management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Source-to-Sea (S2S) Governance, Integrated Water Resources Management (IWRM), Land-Sea Interaction Modeling, Freshwater &amp; Coastal Linkages, Upstream Pollution Abatement, Marine Spatial Governance</w:t>
      </w:r>
    </w:p>
    <w:p>
      <w:pPr>
        <w:spacing w:after="40" w:before="0"/>
        <w:ind w:left="400"/>
      </w:pPr>
      <w:r>
        <w:rPr>
          <w:rFonts w:ascii="Arial" w:cs="Arial" w:eastAsia="Arial" w:hAnsi="Arial"/>
          <w:color w:val="64748B"/>
          <w:sz w:val="18"/>
          <w:szCs w:val="18"/>
        </w:rPr>
        <w:t xml:space="preserve">Specialized international certification on holistic Source-to-Sea (S2S) management issued by Cap-Net UNDP, Stockholm International Water Institute (SIWI), and the Action Platform for Source-to-Sea Management. Comprehensive curriculum addressing transboundary river-coastal linkages, upstream land-based pollution mitigation, sediment and nutrient flow governance, and integrated watershed-to-marine ecosystem planning.</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Application of Radon Transform Method for 2D Seismic Multiple Wave Reduction in West Sumatra Waters</w:t>
      </w:r>
    </w:p>
    <w:p>
      <w:pPr>
        <w:spacing w:after="20" w:before="0"/>
      </w:pPr>
      <w:r>
        <w:rPr>
          <w:rFonts w:ascii="Arial" w:cs="Arial" w:eastAsia="Arial" w:hAnsi="Arial"/>
          <w:color w:val="64748B"/>
          <w:sz w:val="18"/>
          <w:szCs w:val="18"/>
        </w:rPr>
        <w:t xml:space="preserve">Year: 2013  |  Publisher: IPB University Scientific Repository - Undergraduate Thesis (Advisor: Prof.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Global Biodiversity Framework, Sustainable Development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again through a highly competitive global selection process to receive a donor-funded scholarship, and successfully completed the executive short course on the Kunming-Montreal Global Biodiversity Framework (GBF), Sustainable Development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Sustainable Development Goals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UNITAR Green Economic Acceleration: A Japan-ASEAN Strategic Programme for Sustainable Green Finance </w:t>
      </w:r>
      <w:r>
        <w:rPr>
          <w:rFonts w:ascii="Arial" w:cs="Arial" w:eastAsia="Arial" w:hAnsi="Arial"/>
          <w:color w:val="64748B"/>
          <w:sz w:val="18"/>
          <w:szCs w:val="18"/>
        </w:rPr>
        <w:t xml:space="preserve">- United Nations Institute for Training and Research (UNITAR) and UN CC:Learn</w:t>
      </w:r>
    </w:p>
    <w:p>
      <w:pPr>
        <w:spacing w:after="30" w:before="0"/>
        <w:ind w:left="360"/>
      </w:pPr>
      <w:r>
        <w:rPr>
          <w:rFonts w:ascii="Arial" w:cs="Arial" w:eastAsia="Arial" w:hAnsi="Arial"/>
          <w:color w:val="64748B"/>
          <w:sz w:val="17"/>
          <w:szCs w:val="17"/>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 (Kemenristek/BRIN)</w:t>
      </w:r>
    </w:p>
    <w:p>
      <w:pPr>
        <w:spacing w:after="30" w:before="0"/>
        <w:ind w:left="360"/>
      </w:pPr>
      <w:r>
        <w:rPr>
          <w:rFonts w:ascii="Arial" w:cs="Arial" w:eastAsia="Arial" w:hAnsi="Arial"/>
          <w:color w:val="64748B"/>
          <w:sz w:val="17"/>
          <w:szCs w:val="17"/>
        </w:rPr>
        <w:t xml:space="preserve">National innovation recognition awarded for applied marine technology and sustainable fisheries innovation.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spacing w:after="30" w:before="0"/>
        <w:ind w:left="360"/>
      </w:pPr>
      <w:r>
        <w:rPr>
          <w:rFonts w:ascii="Arial" w:cs="Arial" w:eastAsia="Arial" w:hAnsi="Arial"/>
          <w:color w:val="64748B"/>
          <w:sz w:val="17"/>
          <w:szCs w:val="17"/>
        </w:rPr>
        <w:t xml:space="preserve">Selected candidate for the national economic and leadership acceleration initiative by Bank Indonesia Institute.</w:t>
      </w:r>
    </w:p>
    <w:p>
      <w:pPr>
        <w:pStyle w:val="ListParagraph"/>
        <w:numPr>
          <w:ilvl w:val="0"/>
          <w:numId w:val="1"/>
        </w:numPr>
        <w:spacing w:after="2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Featured Speaker at DigiFish Incubating Ecosystem of Digital Innovation </w:t>
      </w:r>
      <w:r>
        <w:rPr>
          <w:rFonts w:ascii="Arial" w:cs="Arial" w:eastAsia="Arial" w:hAnsi="Arial"/>
          <w:color w:val="64748B"/>
          <w:sz w:val="18"/>
          <w:szCs w:val="18"/>
        </w:rPr>
        <w:t xml:space="preserve">- DigiFish Network &amp; Ministry of Marine Affairs and Fisheries (KKP)</w:t>
      </w:r>
    </w:p>
    <w:p>
      <w:pPr>
        <w:spacing w:after="30" w:before="0"/>
        <w:ind w:left="360"/>
      </w:pPr>
      <w:r>
        <w:rPr>
          <w:rFonts w:ascii="Arial" w:cs="Arial" w:eastAsia="Arial" w:hAnsi="Arial"/>
          <w:color w:val="64748B"/>
          <w:sz w:val="17"/>
          <w:szCs w:val="17"/>
        </w:rPr>
        <w:t xml:space="preserve">Invited keynote and expert speaker on digital transformation, satellite VMS, and IoT smart aquaculture platforms.</w:t>
      </w:r>
    </w:p>
    <w:p>
      <w:pPr>
        <w:pStyle w:val="ListParagraph"/>
        <w:numPr>
          <w:ilvl w:val="0"/>
          <w:numId w:val="1"/>
        </w:numPr>
        <w:spacing w:after="2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 &amp; Kemenpora RI</w:t>
      </w:r>
    </w:p>
    <w:p>
      <w:pPr>
        <w:spacing w:after="30" w:before="0"/>
        <w:ind w:left="360"/>
      </w:pPr>
      <w:r>
        <w:rPr>
          <w:rFonts w:ascii="Arial" w:cs="Arial" w:eastAsia="Arial" w:hAnsi="Arial"/>
          <w:color w:val="64748B"/>
          <w:sz w:val="17"/>
          <w:szCs w:val="17"/>
        </w:rPr>
        <w:t xml:space="preserve">Recognized among top national youth innovators for applied environmental and acoustic research.</w:t>
      </w:r>
    </w:p>
    <w:p>
      <w:pPr>
        <w:pStyle w:val="ListParagraph"/>
        <w:numPr>
          <w:ilvl w:val="0"/>
          <w:numId w:val="1"/>
        </w:numPr>
        <w:spacing w:after="2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spacing w:after="30" w:before="0"/>
        <w:ind w:left="360"/>
      </w:pPr>
      <w:r>
        <w:rPr>
          <w:rFonts w:ascii="Arial" w:cs="Arial" w:eastAsia="Arial" w:hAnsi="Arial"/>
          <w:color w:val="64748B"/>
          <w:sz w:val="17"/>
          <w:szCs w:val="17"/>
        </w:rPr>
        <w:t xml:space="preserve">Selected youth parliamentary representative advocating coastal governance, archipelagic policy, and marine conservation.</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spacing w:after="30" w:before="0"/>
        <w:ind w:left="360"/>
      </w:pPr>
      <w:r>
        <w:rPr>
          <w:rFonts w:ascii="Arial" w:cs="Arial" w:eastAsia="Arial" w:hAnsi="Arial"/>
          <w:color w:val="64748B"/>
          <w:sz w:val="17"/>
          <w:szCs w:val="17"/>
        </w:rPr>
        <w:t xml:space="preserve">Awarded for pioneering undergraduate research on bioacoustics and acoustic fish behavior.</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spacing w:after="30" w:before="0"/>
        <w:ind w:left="360"/>
      </w:pPr>
      <w:r>
        <w:rPr>
          <w:rFonts w:ascii="Arial" w:cs="Arial" w:eastAsia="Arial" w:hAnsi="Arial"/>
          <w:color w:val="64748B"/>
          <w:sz w:val="17"/>
          <w:szCs w:val="17"/>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ACADEMIC AFFILIATIONS</w:t>
      </w:r>
    </w:p>
    <w:p>
      <w:pPr>
        <w:pStyle w:val="ListParagraph"/>
        <w:numPr>
          <w:ilvl w:val="0"/>
          <w:numId w:val="1"/>
        </w:numPr>
        <w:spacing w:after="20" w:before="20"/>
      </w:pPr>
      <w:r>
        <w:rPr>
          <w:rFonts w:ascii="Arial" w:cs="Arial" w:eastAsia="Arial" w:hAnsi="Arial"/>
          <w:b/>
          <w:bCs/>
          <w:color w:val="0F3A5D"/>
          <w:sz w:val="19"/>
          <w:szCs w:val="19"/>
        </w:rPr>
        <w:t xml:space="preserve">Asian Fisheries Acoustics Society (AFAS) </w:t>
      </w:r>
      <w:r>
        <w:rPr>
          <w:rFonts w:ascii="Arial" w:cs="Arial" w:eastAsia="Arial" w:hAnsi="Arial"/>
          <w:color w:val="1E293B"/>
          <w:sz w:val="18"/>
          <w:szCs w:val="18"/>
        </w:rPr>
        <w:t xml:space="preserve">- Member (2012 - Present)</w:t>
      </w:r>
    </w:p>
    <w:p>
      <w:pPr>
        <w:spacing w:after="30" w:before="0"/>
        <w:ind w:left="360"/>
      </w:pPr>
      <w:r>
        <w:rPr>
          <w:rFonts w:ascii="Arial" w:cs="Arial" w:eastAsia="Arial" w:hAnsi="Arial"/>
          <w:color w:val="64748B"/>
          <w:sz w:val="17"/>
          <w:szCs w:val="17"/>
        </w:rPr>
        <w:t xml:space="preserve">Active member contributing to regional advancements in underwater bioacoustics, fisheries acoustic survey technologies, optical-acoustic integration, and marine ecosystem monitoring.</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Bogor Agricultural University (IPB University)</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Prof. Henry M. Manik, S.Pi., M.T., Ph.D.</w:t>
      </w:r>
      <w:r>
        <w:rPr>
          <w:rFonts w:ascii="Arial" w:cs="Arial" w:eastAsia="Arial" w:hAnsi="Arial"/>
          <w:color w:val="1E293B"/>
          <w:sz w:val="19"/>
          <w:szCs w:val="19"/>
        </w:rPr>
        <w:t xml:space="preserve"> - Professor of Ocean Acoustics and Instrumentation, Department of Marine Science and Technology, IPB University</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Dr. Windi Al Zahra</w:t>
      </w:r>
      <w:r>
        <w:rPr>
          <w:rFonts w:ascii="Arial" w:cs="Arial" w:eastAsia="Arial" w:hAnsi="Arial"/>
          <w:color w:val="1E293B"/>
          <w:sz w:val="19"/>
          <w:szCs w:val="19"/>
        </w:rPr>
        <w:t xml:space="preserve"> - Senior Researcher / Climate &amp; Environmental Specialist, Centre for Climate Risk and Opportunity Management (CCROM SEAP), IPB University</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Dias Natasasmita</w:t>
      </w:r>
      <w:r>
        <w:rPr>
          <w:rFonts w:ascii="Arial" w:cs="Arial" w:eastAsia="Arial" w:hAnsi="Arial"/>
          <w:color w:val="1E293B"/>
          <w:sz w:val="19"/>
          <w:szCs w:val="19"/>
        </w:rPr>
        <w:t xml:space="preserve"> - Marine Specialist, World Bank Group</w:t>
      </w:r>
    </w:p>
    <w:p>
      <w:pPr>
        <w:spacing w:after="80" w:before="0"/>
      </w:pPr>
      <w:r>
        <w:rPr>
          <w:rFonts w:ascii="Arial" w:cs="Arial" w:eastAsia="Arial" w:hAnsi="Arial"/>
          <w:color w:val="64748B"/>
          <w:sz w:val="18"/>
          <w:szCs w:val="18"/>
        </w:rPr>
        <w:t xml:space="preserve">Contact available upon request</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2026-10-20T08:22:25.716Z</dcterms:created>
  <dcterms:modified xsi:type="dcterms:W3CDTF">2026-10-20T08:22:25.717Z</dcterms:modified>
</cp:coreProperties>
</file>

<file path=docProps/custom.xml><?xml version="1.0" encoding="utf-8"?>
<Properties xmlns="http://schemas.openxmlformats.org/officeDocument/2006/custom-properties" xmlns:vt="http://schemas.openxmlformats.org/officeDocument/2006/docPropsVTypes"/>
</file>