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32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67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(Sistem Registry Unit Karbon Indonesia / SRUK,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32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(Sistem Registry Unit Karbon Indonesia / SRUK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26.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27.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28.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29.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30.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31.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32.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67)</w:t>
      </w:r>
    </w:p>
    <w:p>
      <w:pPr>
        <w:spacing w:after="40" w:before="140"/>
      </w:pPr>
      <w:r>
        <w:rPr>
          <w:rFonts w:ascii="Arial" w:cs="Arial" w:eastAsia="Arial" w:hAnsi="Arial"/>
          <w:b/>
          <w:bCs/>
          <w:color w:val="0F3A5D"/>
          <w:sz w:val="21"/>
          <w:szCs w:val="21"/>
        </w:rPr>
        <w:t xml:space="preserve">1. Carbon, Climate &amp; Ecosystem Services (Blue Carbon, Forest Carbon &amp; Climate Finance) (19 Programs)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2026-09-23T16:03:41.448Z</dcterms:created>
  <dcterms:modified xsi:type="dcterms:W3CDTF">2026-09-23T16:03:41.450Z</dcterms:modified>
</cp:coreProperties>
</file>

<file path=docProps/custom.xml><?xml version="1.0" encoding="utf-8"?>
<Properties xmlns="http://schemas.openxmlformats.org/officeDocument/2006/custom-properties" xmlns:vt="http://schemas.openxmlformats.org/officeDocument/2006/docPropsVTypes"/>
</file>