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WWF,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69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69)</w:t>
      </w:r>
    </w:p>
    <w:p>
      <w:pPr>
        <w:spacing w:after="40" w:before="140"/>
      </w:pPr>
      <w:r>
        <w:rPr>
          <w:rFonts w:ascii="Arial" w:cs="Arial" w:eastAsia="Arial" w:hAnsi="Arial"/>
          <w:b/>
          <w:bCs/>
          <w:color w:val="0F3A5D"/>
          <w:sz w:val="21"/>
          <w:szCs w:val="21"/>
        </w:rPr>
        <w:t xml:space="preserve">1. Carbon, Climate &amp; Ecosystem Services (Blue Carbon, Forest Carbon &amp; Climate Finance) (20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(17 Programs)</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2026-10-01T05:08:19.412Z</dcterms:created>
  <dcterms:modified xsi:type="dcterms:W3CDTF">2026-10-01T05:08:19.435Z</dcterms:modified>
</cp:coreProperties>
</file>

<file path=docProps/custom.xml><?xml version="1.0" encoding="utf-8"?>
<Properties xmlns="http://schemas.openxmlformats.org/officeDocument/2006/custom-properties" xmlns:vt="http://schemas.openxmlformats.org/officeDocument/2006/docPropsVTypes"/>
</file>