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lmgichdfdne6opf-q_xe6">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9fbokpvztlrdzm_poosp1">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41sohbzk6asmfbzxyznpe">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jc w:val="both"/>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3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30"/>
      </w:pPr>
      <w:r>
        <w:rPr>
          <w:rFonts w:ascii="Arial" w:cs="Arial" w:eastAsia="Arial" w:hAnsi="Arial"/>
          <w:b/>
          <w:bCs/>
          <w:color w:val="0F3A5D"/>
          <w:sz w:val="20"/>
          <w:szCs w:val="20"/>
        </w:rPr>
        <w:t xml:space="preserve">8: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jc w:val="both"/>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jc w:val="both"/>
      </w:pPr>
      <w:r>
        <w:rPr>
          <w:rFonts w:ascii="Arial" w:cs="Arial" w:eastAsia="Arial" w:hAnsi="Arial"/>
          <w:color w:val="1E293B"/>
          <w:sz w:val="19"/>
          <w:szCs w:val="19"/>
        </w:rPr>
        <w:t xml:space="preserve">Managed multidisciplinary carbon project operations across terrestrial, peatland, and coastal wetland concession areas (&gt;200,000 ha) in West Papua and Southwest Papua. Directed cross-functional field teams across forestry, biodiversity, and social workstreams to execute rigorous primary data collection, ecological baselines, High Carbon Stock Approach (HCSA), High Conservation Value (HCV), and ground-based carbon stock accounting (SNI 7724). Spearheaded multi-level stakeholder management and Free, Prior, and Informed Consent (FPIC) consultations with local customary communities to secure social license to operate (SLO) and establish equitable benefit-sharing frameworks. Coordinated regulatory compliance and statutory licensing pathways with the Ministry of Forestry and the Ministry of Environment, formulating Environmental and Social Management Plans (ESMP) and robust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jc w:val="both"/>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jc w:val="both"/>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jc w:val="both"/>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jc w:val="both"/>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land-based and vessel visual observation during 2D and Transition Zone (TZ) marine seismic surveys for KrisEnergy (Udan Emas) BV in Arguni Bay, West Papua. Enforced pre-shooting visual scans, exclusion zone protocols, and soft-start ramp-up procedures to safeguard marine biotas. Field observations confirmed 64 Australian humpback dolphin groups (Sousa sahulensis) and 40 Indo-Pacific bottlenose dolphin groups (Tursiops aduncus), directly cited by the IUCN Joint SSC/WCPA Marine Mammal Protected Areas Task Force (Wijaya, 2015; Beasley et al., 2016) as foundational empirical evidence designating Arguni Bay as a global marine mammal biodiversity hotspot (Kaimana IMMA).</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jc w:val="both"/>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(31 PROJECTS)</w:t>
      </w:r>
    </w:p>
    <w:p>
      <w:pPr>
        <w:spacing w:after="120" w:before="60"/>
        <w:jc w:val="both"/>
      </w:pPr>
      <w:r>
        <w:rPr>
          <w:rFonts w:ascii="Arial" w:cs="Arial" w:eastAsia="Arial" w:hAnsi="Arial"/>
          <w:color w:val="1E293B"/>
          <w:sz w:val="19"/>
          <w:szCs w:val="19"/>
        </w:rPr>
        <w:t xml:space="preserve">Over the past 13+ years, I Gede Mahendra Wijaya has directed, managed, and contributed to 31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Independent Evaluation of WWF Malaysia Marine Conservation Programme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Wildlife Fund for Nature (WWF) Malaysia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Provided evaluative research and analytical support for the independent evaluation of WWF Malaysia's Marine Conservation Programme. Supported criteria-based assessments evaluating conservation effectiveness, strategic relevance, stakeholder engagement, and marine protected area governance across priority seascapes in Peninsular Malaysia and Sabah.</w:t>
      </w:r>
    </w:p>
    <w:p>
      <w:pPr>
        <w:spacing w:after="20" w:before="80"/>
      </w:pPr>
      <w:r>
        <w:rPr>
          <w:rFonts w:ascii="Arial" w:cs="Arial" w:eastAsia="Arial" w:hAnsi="Arial"/>
          <w:b/>
          <w:bCs/>
          <w:color w:val="0F3A5D"/>
          <w:sz w:val="20"/>
          <w:szCs w:val="20"/>
        </w:rPr>
        <w:t xml:space="preserve">29. Institutional Advisory &amp; Multi-Stakeholder Facilitation for the Indonesian National Tuna Management Commission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David and Lucile Packard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2019 - 2020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Provided technical and coordination support in facilitating the foundational dialogue and operational setup for the Indonesian National Tuna Management Commission (Komisi Nasional Pengelolaan Perikanan Tuna). Contributed to institutional stakeholder mapping, synthesis of fisheries policy inputs, and preparation of procedural materials to advance multi-stakeholder governance across Indonesia's tuna sector.</w:t>
      </w:r>
    </w:p>
    <w:p>
      <w:pPr>
        <w:spacing w:after="20" w:before="8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jc w:val="both"/>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(8 PUBLICATIONS)</w:t>
      </w:r>
    </w:p>
    <w:p>
      <w:pPr>
        <w:spacing w:after="20" w:before="70"/>
      </w:pPr>
      <w:r>
        <w:rPr>
          <w:rFonts w:ascii="Arial" w:cs="Arial" w:eastAsia="Arial" w:hAnsi="Arial"/>
          <w:b/>
          <w:bCs/>
          <w:color w:val="0F3A5D"/>
          <w:sz w:val="20"/>
          <w:szCs w:val="20"/>
        </w:rPr>
        <w:t xml:space="preserve">1. Digital Shrimp Cultivation: SMARTSHRIMPS.ID - Smart Mobile &amp; Web Application for Indonesian Shrimp Farmers (Budidaya Udang Cara Digital)</w:t>
      </w:r>
    </w:p>
    <w:p>
      <w:pPr>
        <w:spacing w:after="30" w:before="10"/>
      </w:pPr>
      <w:r>
        <w:rPr>
          <w:rFonts w:ascii="Arial" w:cs="Arial" w:eastAsia="Arial" w:hAnsi="Arial"/>
          <w:color w:val="1E293B"/>
          <w:sz w:val="18"/>
          <w:szCs w:val="18"/>
        </w:rPr>
        <w:t xml:space="preserve">(2022). </w:t>
      </w:r>
      <w:r>
        <w:rPr>
          <w:rFonts w:ascii="Arial" w:cs="Arial" w:eastAsia="Arial" w:hAnsi="Arial"/>
          <w:i/>
          <w:iCs/>
          <w:color w:val="64748B"/>
          <w:sz w:val="18"/>
          <w:szCs w:val="18"/>
        </w:rPr>
        <w:t xml:space="preserve">114 Inovasi Indonesia 2022 - Business Innovation Center (BIC) &amp; Ministry of Research and Technology (Kemenristek/BRIN). </w:t>
      </w:r>
      <w:r>
        <w:rPr>
          <w:rFonts w:ascii="Arial" w:cs="Arial" w:eastAsia="Arial" w:hAnsi="Arial"/>
          <w:color w:val="0D9488"/>
          <w:sz w:val="18"/>
          <w:szCs w:val="18"/>
        </w:rPr>
        <w:t xml:space="preserve">DOI/Link: https://bic.web.id/general/view/Budidaya+Udang+Cara+Digital+</w:t>
      </w:r>
    </w:p>
    <w:p>
      <w:pPr>
        <w:spacing w:after="60" w:before="10"/>
        <w:jc w:val="both"/>
      </w:pPr>
      <w:r>
        <w:rPr>
          <w:rFonts w:ascii="Arial" w:cs="Arial" w:eastAsia="Arial" w:hAnsi="Arial"/>
          <w:color w:val="1E293B"/>
          <w:sz w:val="18"/>
          <w:szCs w:val="18"/>
        </w:rPr>
        <w:t xml:space="preserve">National award-winning digital innovation developing a smart mobile and web application for optimizing daily shrimp farming data, real-time water quality monitoring, and traceability to elevate smallholder aquaculture productivity to international export standards.</w:t>
      </w:r>
    </w:p>
    <w:p>
      <w:pPr>
        <w:spacing w:after="20" w:before="70"/>
      </w:pPr>
      <w:r>
        <w:rPr>
          <w:rFonts w:ascii="Arial" w:cs="Arial" w:eastAsia="Arial" w:hAnsi="Arial"/>
          <w:b/>
          <w:bCs/>
          <w:color w:val="0F3A5D"/>
          <w:sz w:val="20"/>
          <w:szCs w:val="20"/>
        </w:rPr>
        <w:t xml:space="preserve">2.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jc w:val="both"/>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3.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jc w:val="both"/>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 Incorporates primary survey observations in Arguni Bay confirming 64 Sousa sahulensis groups and 40 Tursiops aduncus groups, formally cited as key empirical evidence by the IUCN Joint SSC/WCPA Task Force (2022) in designating the Kaimana, West Papua Important Marine Mammal Area (IMMA).</w:t>
      </w:r>
    </w:p>
    <w:p>
      <w:pPr>
        <w:spacing w:after="20" w:before="70"/>
      </w:pPr>
      <w:r>
        <w:rPr>
          <w:rFonts w:ascii="Arial" w:cs="Arial" w:eastAsia="Arial" w:hAnsi="Arial"/>
          <w:b/>
          <w:bCs/>
          <w:color w:val="0F3A5D"/>
          <w:sz w:val="20"/>
          <w:szCs w:val="20"/>
        </w:rPr>
        <w:t xml:space="preserve">4.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jc w:val="both"/>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5. Spionase Bawah Air: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104 Inovasi Indonesia 2012 - Business Innovation Center (BIC) &amp; Ministry of Research and Technology. </w:t>
      </w:r>
      <w:r>
        <w:rPr>
          <w:rFonts w:ascii="Arial" w:cs="Arial" w:eastAsia="Arial" w:hAnsi="Arial"/>
          <w:color w:val="0D9488"/>
          <w:sz w:val="18"/>
          <w:szCs w:val="18"/>
        </w:rPr>
        <w:t xml:space="preserve">DOI/Link: https://bic.web.id/general/view/Spionase+Bawah+Air</w:t>
      </w:r>
    </w:p>
    <w:p>
      <w:pPr>
        <w:spacing w:after="60" w:before="10"/>
        <w:jc w:val="both"/>
      </w:pPr>
      <w:r>
        <w:rPr>
          <w:rFonts w:ascii="Arial" w:cs="Arial" w:eastAsia="Arial" w:hAnsi="Arial"/>
          <w:color w:val="1E293B"/>
          <w:sz w:val="18"/>
          <w:szCs w:val="18"/>
        </w:rPr>
        <w:t xml:space="preserve">National award-winning research innovation on passive acoustic detection, bioacoustic monitoring, and fish behavior analysis to assess aquaculture fish productivity.</w:t>
      </w:r>
    </w:p>
    <w:p>
      <w:pPr>
        <w:spacing w:after="20" w:before="70"/>
      </w:pPr>
      <w:r>
        <w:rPr>
          <w:rFonts w:ascii="Arial" w:cs="Arial" w:eastAsia="Arial" w:hAnsi="Arial"/>
          <w:b/>
          <w:bCs/>
          <w:color w:val="0F3A5D"/>
          <w:sz w:val="20"/>
          <w:szCs w:val="20"/>
        </w:rPr>
        <w:t xml:space="preserve">6. Prototype Radio Wave-Based Autonomous Patrol Vessel: Design for Maritime Border Security in Outer Islands of Indonesia (Prototipe Kapal Patroli Perairan Tanpa Awak)</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Technical conference paper on the conceptual design of an autonomous surface/underwater vehicle (AUV/ASV) utilizing radio navigation and Differential GPS (DGPS) for automated maritime surveillance and border deterrence against illegal, unreported, and unregulated (IUU) fishing.</w:t>
      </w:r>
    </w:p>
    <w:p>
      <w:pPr>
        <w:spacing w:after="20" w:before="70"/>
      </w:pPr>
      <w:r>
        <w:rPr>
          <w:rFonts w:ascii="Arial" w:cs="Arial" w:eastAsia="Arial" w:hAnsi="Arial"/>
          <w:b/>
          <w:bCs/>
          <w:color w:val="0F3A5D"/>
          <w:sz w:val="20"/>
          <w:szCs w:val="20"/>
        </w:rPr>
        <w:t xml:space="preserve">7. Development of a Hydrokinetic Water Turbine Propeller for Small-Scale Fishing Vessels to Reduce Fossil Fuel Dependence</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Applied engineering paper proposing a hydrokinetic Voith Schneider Propeller design to harness water flow kinetic energy during navigation on small-scale vessels (&lt;5 GT), generating renewable electricity to reduce diesel fuel dependency and operational costs.</w:t>
      </w:r>
    </w:p>
    <w:p>
      <w:pPr>
        <w:spacing w:after="20" w:before="70"/>
      </w:pPr>
      <w:r>
        <w:rPr>
          <w:rFonts w:ascii="Arial" w:cs="Arial" w:eastAsia="Arial" w:hAnsi="Arial"/>
          <w:b/>
          <w:bCs/>
          <w:color w:val="0F3A5D"/>
          <w:sz w:val="20"/>
          <w:szCs w:val="20"/>
        </w:rPr>
        <w:t xml:space="preserve">8. Analysis of Vessel Gross Tonnage Impact on Fishermen Catch Yield at Tegal Coastal Fishing Port, Central Java</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National Seminar on Marine &amp; Fisheries Socio-Economic Policy (SEMNAS SOSEK KP 2012) - Ministry of Marine Affairs and Fisheries (MMAF) &amp; Indonesian Institute of Sciences (LIPI). </w:t>
      </w:r>
      <w:r>
        <w:rPr>
          <w:rFonts w:ascii="Arial" w:cs="Arial" w:eastAsia="Arial" w:hAnsi="Arial"/>
          <w:color w:val="0D9488"/>
          <w:sz w:val="18"/>
          <w:szCs w:val="18"/>
        </w:rPr>
        <w:t xml:space="preserve">DOI/Link: https://www.bbrse.kkp.go.id/semnas/</w:t>
      </w:r>
    </w:p>
    <w:p>
      <w:pPr>
        <w:spacing w:after="60" w:before="10"/>
        <w:jc w:val="both"/>
      </w:pPr>
      <w:r>
        <w:rPr>
          <w:rFonts w:ascii="Arial" w:cs="Arial" w:eastAsia="Arial" w:hAnsi="Arial"/>
          <w:color w:val="1E293B"/>
          <w:sz w:val="18"/>
          <w:szCs w:val="18"/>
        </w:rPr>
        <w:t xml:space="preserve">Quantitative empirical study evaluating the correlation between fishing vessel gross tonnage (GT), trip duration, and total catch yield efficiency across fishing fleets operating out of Tegal Coastal Fishing Port.</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jc w:val="both"/>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jc w:val="both"/>
      </w:pPr>
      <w:r>
        <w:rPr>
          <w:rFonts w:ascii="Arial" w:cs="Arial" w:eastAsia="Arial" w:hAnsi="Arial"/>
          <w:color w:val="1E293B"/>
          <w:sz w:val="18"/>
          <w:szCs w:val="18"/>
        </w:rPr>
        <w:t xml:space="preserve">National innovation recognition awarded for "Budidaya Udang Cara Digital (SMARTSHRIMPS.ID)" - a pioneering smart digital application optimizing real-time monitoring and traceability for Indonesian shrimp farmers.</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jc w:val="both"/>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jc w:val="both"/>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jc w:val="both"/>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jc w:val="both"/>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jc w:val="both"/>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jc w:val="both"/>
      </w:pPr>
      <w:r>
        <w:rPr>
          <w:rFonts w:ascii="Arial" w:cs="Arial" w:eastAsia="Arial" w:hAnsi="Arial"/>
          <w:color w:val="1E293B"/>
          <w:sz w:val="18"/>
          <w:szCs w:val="18"/>
        </w:rPr>
        <w:t xml:space="preserve">Awarded for pioneering undergraduate research on "Spionase Bawah Air (Sound of Fish Affects Fish Productivity)" utilizing passive bioacoustic detection to determine fish behavior and productivity.</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jc w:val="both"/>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Greenhouse Gas Management Institute (GHGMI)</w:t>
      </w:r>
      <w:r>
        <w:rPr>
          <w:rFonts w:ascii="Arial" w:cs="Arial" w:eastAsia="Arial" w:hAnsi="Arial"/>
          <w:color w:val="0D9488"/>
          <w:sz w:val="18"/>
          <w:szCs w:val="18"/>
        </w:rPr>
        <w:t xml:space="preserve"> | Member (2024 - Present)</w:t>
      </w:r>
    </w:p>
    <w:p>
      <w:pPr>
        <w:spacing w:after="50" w:before="10"/>
        <w:jc w:val="both"/>
      </w:pPr>
      <w:r>
        <w:rPr>
          <w:rFonts w:ascii="Arial" w:cs="Arial" w:eastAsia="Arial" w:hAnsi="Arial"/>
          <w:color w:val="1E293B"/>
          <w:sz w:val="18"/>
          <w:szCs w:val="18"/>
        </w:rPr>
        <w:t xml:space="preserve">Professional member of A Society of Greenhouse Gas Professionals under the Greenhouse Gas Management Institute (GHGMI), upholding rigorous carbon accounting standards, ethical code of conduct, and robust MRV practices for climate change mitigation.</w:t>
      </w:r>
    </w:p>
    <w:p>
      <w:pPr>
        <w:spacing w:after="20" w:before="60"/>
      </w:pPr>
      <w:r>
        <w:rPr>
          <w:rFonts w:ascii="Arial" w:cs="Arial" w:eastAsia="Arial" w:hAnsi="Arial"/>
          <w:b/>
          <w:bCs/>
          <w:color w:val="0F3A5D"/>
          <w:sz w:val="20"/>
          <w:szCs w:val="20"/>
        </w:rPr>
        <w:t xml:space="preserve">2. Asian Fisheries Acoustics Society (AFAS)</w:t>
      </w:r>
      <w:r>
        <w:rPr>
          <w:rFonts w:ascii="Arial" w:cs="Arial" w:eastAsia="Arial" w:hAnsi="Arial"/>
          <w:color w:val="0D9488"/>
          <w:sz w:val="18"/>
          <w:szCs w:val="18"/>
        </w:rPr>
        <w:t xml:space="preserve"> | Member (2012 - Present)</w:t>
      </w:r>
    </w:p>
    <w:p>
      <w:pPr>
        <w:spacing w:after="50" w:before="10"/>
        <w:jc w:val="both"/>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mgichdfdne6opf-q_xe6" Type="http://schemas.openxmlformats.org/officeDocument/2006/relationships/hyperlink" Target="https://linkedin.com/in/gmwijaya" TargetMode="External"/><Relationship Id="rId9fbokpvztlrdzm_poosp1" Type="http://schemas.openxmlformats.org/officeDocument/2006/relationships/hyperlink" Target="https://gedemahendraw.github.io/" TargetMode="External"/><Relationship Id="rId41sohbzk6asmfbzxyznpe"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2026-10-26T09:06:38.076Z</dcterms:created>
  <dcterms:modified xsi:type="dcterms:W3CDTF">2026-10-26T09:06:38.076Z</dcterms:modified>
</cp:coreProperties>
</file>

<file path=docProps/custom.xml><?xml version="1.0" encoding="utf-8"?>
<Properties xmlns="http://schemas.openxmlformats.org/officeDocument/2006/custom-properties" xmlns:vt="http://schemas.openxmlformats.org/officeDocument/2006/docPropsVTypes"/>
</file>