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leadership across marine-based sectors, forest concessions, and industrial waste decarbonization. Formally trained in marine science and acoustics (IPB University), with expertise spanning coastal and ocean governance, sustainable fisheries, forest concession area, and carbon mitigation across AFOLU (&gt;200,000 ha peatland/wetland concessions in Papua) and Waste sectors (Palm Oil Mill Effluent / POME methane capture &amp; biogas-to-energy). Proven track record with major international institutions (World Bank, ADB, FAO, UNDP, TNC) and national innovation award recognition (BIC). Highly skilled in carbon accounting (carbon unit registry system of Indonesia, VCM, Paris Agreement Article 6), MRV, environmental safeguards (ESIA/AMDAL), and multi-stakeholder engagement.</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29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(carbon unit registry system of Indonesia, IDXCarbon, and international compliance). Directing the development, technical review, and validation of Project Design Documents and Climate Mitigation Action Plan Documents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Verra SD VISta (Sustainable Development Verified Impact Standard), Verra Nature Framework, ART TREES, and high-integrity nature and biodiversity credit standards.</w:t>
      </w:r>
    </w:p>
    <w:p>
      <w:pPr>
        <w:spacing w:after="20" w:before="100"/>
      </w:pPr>
      <w:r>
        <w:rPr>
          <w:rFonts w:ascii="Arial" w:cs="Arial" w:eastAsia="Arial" w:hAnsi="Arial"/>
          <w:b/>
          <w:bCs/>
          <w:color w:val="0F3A5D"/>
          <w:sz w:val="21"/>
          <w:szCs w:val="21"/>
        </w:rPr>
        <w:t xml:space="preserve">2. Project Manager</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local customary communities. Led regulatory liaison and licensing with the Ministry of Environment and Forestry (MoEF / KLHK) and Ministry of Marine Affairs and Fisheries (KKP). Formulated comprehensive Environmental &amp; Social Management Plans (ESMP), environmental and social compliance,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multiple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29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SD VISta, and Nature Framework),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11.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12.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13.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14.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15.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16.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17.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18.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19.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20.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21.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22.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23.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24.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25.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26.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27.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28.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29.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72)</w:t>
      </w:r>
    </w:p>
    <w:p>
      <w:pPr>
        <w:spacing w:after="40" w:before="140"/>
      </w:pPr>
      <w:r>
        <w:rPr>
          <w:rFonts w:ascii="Arial" w:cs="Arial" w:eastAsia="Arial" w:hAnsi="Arial"/>
          <w:b/>
          <w:bCs/>
          <w:color w:val="0F3A5D"/>
          <w:sz w:val="21"/>
          <w:szCs w:val="21"/>
        </w:rPr>
        <w:t xml:space="preserve">1. Carbon, Climate &amp; Ecosystem Services (Blue Carbon, Forest Carbon &amp; Climate Finance) (22 Programs)</w:t>
      </w:r>
    </w:p>
    <w:p>
      <w:pPr>
        <w:pStyle w:val="ListParagraph"/>
        <w:numPr>
          <w:ilvl w:val="0"/>
          <w:numId w:val="1"/>
        </w:numPr>
        <w:spacing w:after="20" w:before="20"/>
      </w:pPr>
      <w:r>
        <w:rPr>
          <w:rFonts w:ascii="Arial" w:cs="Arial" w:eastAsia="Arial" w:hAnsi="Arial"/>
          <w:b/>
          <w:bCs/>
          <w:color w:val="1E293B"/>
          <w:sz w:val="19"/>
          <w:szCs w:val="19"/>
        </w:rPr>
        <w:t xml:space="preserve">Operationalizing Article 6.2 of the Paris Agreement: Achieving Ambitious Climate Action Through Cooperative Approaches</w:t>
      </w:r>
      <w:r>
        <w:rPr>
          <w:rFonts w:ascii="Arial" w:cs="Arial" w:eastAsia="Arial" w:hAnsi="Arial"/>
          <w:color w:val="64748B"/>
          <w:sz w:val="18"/>
          <w:szCs w:val="18"/>
        </w:rPr>
        <w:t xml:space="preserve"> - United Nations Development Programme (UNDP), UNFCCC &amp; Learning for Nature (Oct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Governance, Internationally Transferred Mitigation Outcomes (ITMOs), Bilateral Cooperative Approaches, Corresponding Adjustments &amp; NDC Accounting, National Registry &amp; Tracking, Authorization Frameworks</w:t>
      </w:r>
    </w:p>
    <w:p>
      <w:pPr>
        <w:spacing w:after="40" w:before="0"/>
        <w:ind w:left="400"/>
      </w:pPr>
      <w:r>
        <w:rPr>
          <w:rFonts w:ascii="Arial" w:cs="Arial" w:eastAsia="Arial" w:hAnsi="Arial"/>
          <w:color w:val="64748B"/>
          <w:sz w:val="18"/>
          <w:szCs w:val="18"/>
        </w:rPr>
        <w:t xml:space="preserve">Specialized training certification developed by UNDP in partnership with the UNFCCC and delivered via Learning for Nature / UN CC:Learn. Covers key requirements and national building blocks for operationalizing Article 6.2 cooperative approaches, including bilateral trading of Internationally Transferred Mitigation Outcomes (ITMOs), robust NDC accounting, avoiding double-counting with corresponding adjustments, and institutional arrangements.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Climate Finance Transparency</w:t>
      </w:r>
      <w:r>
        <w:rPr>
          <w:rFonts w:ascii="Arial" w:cs="Arial" w:eastAsia="Arial" w:hAnsi="Arial"/>
          <w:color w:val="64748B"/>
          <w:sz w:val="18"/>
          <w:szCs w:val="18"/>
        </w:rPr>
        <w:t xml:space="preserve"> - Initiative for Climate Action Transparency (ICAT)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Climate Finance Tracking, Enhanced Transparency Framework (ETF), Article 9 &amp; 13 Paris Agreement, Climate Finance Needs Assessment, Climate Finance Mobilization, Transparency Metrics &amp; MRV</w:t>
      </w:r>
    </w:p>
    <w:p>
      <w:pPr>
        <w:spacing w:after="40" w:before="0"/>
        <w:ind w:left="400"/>
      </w:pPr>
      <w:r>
        <w:rPr>
          <w:rFonts w:ascii="Arial" w:cs="Arial" w:eastAsia="Arial" w:hAnsi="Arial"/>
          <w:color w:val="64748B"/>
          <w:sz w:val="18"/>
          <w:szCs w:val="18"/>
        </w:rPr>
        <w:t xml:space="preserve">Professional certification developed by the Initiative for Climate Action Transparency (ICAT) on Learning for Nature. Comprehensive training on establishing national climate finance tracking frameworks, assessing financial needs for mitigation and adaptation, mapping climate finance flows, and aligning with the Paris Agreement's Enhanced Transparency Framework (ETF).</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(18 Programs)</w:t>
      </w:r>
    </w:p>
    <w:p>
      <w:pPr>
        <w:pStyle w:val="ListParagraph"/>
        <w:numPr>
          <w:ilvl w:val="0"/>
          <w:numId w:val="1"/>
        </w:numPr>
        <w:spacing w:after="20" w:before="20"/>
      </w:pPr>
      <w:r>
        <w:rPr>
          <w:rFonts w:ascii="Arial" w:cs="Arial" w:eastAsia="Arial" w:hAnsi="Arial"/>
          <w:b/>
          <w:bCs/>
          <w:color w:val="1E293B"/>
          <w:sz w:val="19"/>
          <w:szCs w:val="19"/>
        </w:rPr>
        <w:t xml:space="preserve">Building Skills for Coastal Restoration with Nature and People</w:t>
      </w:r>
      <w:r>
        <w:rPr>
          <w:rFonts w:ascii="Arial" w:cs="Arial" w:eastAsia="Arial" w:hAnsi="Arial"/>
          <w:color w:val="64748B"/>
          <w:sz w:val="18"/>
          <w:szCs w:val="18"/>
        </w:rPr>
        <w:t xml:space="preserve"> - UNESCO/IOC OceanTeacher Global Academy (OTGA) &amp; A-AAGORA Project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Coastal Ecosystem Restoration, Nature-based Solutions (NbS), Community-Led Marine Stewardship, Marine Spatial Planning, Biodiversity Enhancement, Ecosystem Resilience</w:t>
      </w:r>
    </w:p>
    <w:p>
      <w:pPr>
        <w:spacing w:after="40" w:before="0"/>
        <w:ind w:left="400"/>
      </w:pPr>
      <w:r>
        <w:rPr>
          <w:rFonts w:ascii="Arial" w:cs="Arial" w:eastAsia="Arial" w:hAnsi="Arial"/>
          <w:color w:val="64748B"/>
          <w:sz w:val="18"/>
          <w:szCs w:val="18"/>
        </w:rPr>
        <w:t xml:space="preserve">Specialized 25-hour professional MOOC certification delivered by the UNESCO/IOC OceanTeacher Global Academy (OTGA) in partnership with the EU A-AAGORA project. Comprehensive training on designing and scaling real-world Nature-based Solutions (NbS) for coastal restoration, engaging local coastal communities, marine biodiversity protection, and climate resilience.</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Application of Radon Transform Method for 2D Seismic Multiple Wave Reduction in West Sumatra Waters</w:t>
      </w:r>
    </w:p>
    <w:p>
      <w:pPr>
        <w:spacing w:after="20" w:before="0"/>
      </w:pPr>
      <w:r>
        <w:rPr>
          <w:rFonts w:ascii="Arial" w:cs="Arial" w:eastAsia="Arial" w:hAnsi="Arial"/>
          <w:color w:val="64748B"/>
          <w:sz w:val="18"/>
          <w:szCs w:val="18"/>
        </w:rPr>
        <w:t xml:space="preserve">Year: 2013  |  Publisher: IPB University Scientific Repository - Undergraduate Thesis (Advisor: Prof.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Global Biodiversity Framework, Sustainable Development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ACADEMIC AFFILIATIONS</w:t>
      </w:r>
    </w:p>
    <w:p>
      <w:pPr>
        <w:pStyle w:val="ListParagraph"/>
        <w:numPr>
          <w:ilvl w:val="0"/>
          <w:numId w:val="1"/>
        </w:numPr>
        <w:spacing w:after="20" w:before="20"/>
      </w:pPr>
      <w:r>
        <w:rPr>
          <w:rFonts w:ascii="Arial" w:cs="Arial" w:eastAsia="Arial" w:hAnsi="Arial"/>
          <w:b/>
          <w:bCs/>
          <w:color w:val="0F3A5D"/>
          <w:sz w:val="19"/>
          <w:szCs w:val="19"/>
        </w:rPr>
        <w:t xml:space="preserve">Asian Fisheries Acoustics Society (AFAS) </w:t>
      </w:r>
      <w:r>
        <w:rPr>
          <w:rFonts w:ascii="Arial" w:cs="Arial" w:eastAsia="Arial" w:hAnsi="Arial"/>
          <w:color w:val="1E293B"/>
          <w:sz w:val="18"/>
          <w:szCs w:val="18"/>
        </w:rPr>
        <w:t xml:space="preserve">- Member (2012 - Present)</w:t>
      </w:r>
    </w:p>
    <w:p>
      <w:pPr>
        <w:spacing w:after="30" w:before="0"/>
        <w:ind w:left="360"/>
      </w:pPr>
      <w:r>
        <w:rPr>
          <w:rFonts w:ascii="Arial" w:cs="Arial" w:eastAsia="Arial" w:hAnsi="Arial"/>
          <w:color w:val="64748B"/>
          <w:sz w:val="17"/>
          <w:szCs w:val="17"/>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Bogor Agricultural University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Prof. Henry M. Manik, S.Pi., M.T., Ph.D.</w:t>
      </w:r>
      <w:r>
        <w:rPr>
          <w:rFonts w:ascii="Arial" w:cs="Arial" w:eastAsia="Arial" w:hAnsi="Arial"/>
          <w:color w:val="1E293B"/>
          <w:sz w:val="19"/>
          <w:szCs w:val="19"/>
        </w:rPr>
        <w:t xml:space="preserve"> - Professor of Ocean Acoustics and Instrumentation, Department of Marine Science and Technology,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Dr. Windi Al Zahra</w:t>
      </w:r>
      <w:r>
        <w:rPr>
          <w:rFonts w:ascii="Arial" w:cs="Arial" w:eastAsia="Arial" w:hAnsi="Arial"/>
          <w:color w:val="1E293B"/>
          <w:sz w:val="19"/>
          <w:szCs w:val="19"/>
        </w:rPr>
        <w:t xml:space="preserve"> - Senior Researcher / Climate &amp; Environmental Specialist, Centre for Climate Risk and Opportunity Management (CCROM SEAP),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Dias Natasasmita</w:t>
      </w:r>
      <w:r>
        <w:rPr>
          <w:rFonts w:ascii="Arial" w:cs="Arial" w:eastAsia="Arial" w:hAnsi="Arial"/>
          <w:color w:val="1E293B"/>
          <w:sz w:val="19"/>
          <w:szCs w:val="19"/>
        </w:rPr>
        <w:t xml:space="preserve"> - Marine Specialist, World Bank Group</w:t>
      </w:r>
    </w:p>
    <w:p>
      <w:pPr>
        <w:spacing w:after="80" w:before="0"/>
      </w:pPr>
      <w:r>
        <w:rPr>
          <w:rFonts w:ascii="Arial" w:cs="Arial" w:eastAsia="Arial" w:hAnsi="Arial"/>
          <w:color w:val="64748B"/>
          <w:sz w:val="18"/>
          <w:szCs w:val="18"/>
        </w:rPr>
        <w:t xml:space="preserve">Contact available upon request</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2026-10-20T09:16:01.557Z</dcterms:created>
  <dcterms:modified xsi:type="dcterms:W3CDTF">2026-10-20T09:16:01.559Z</dcterms:modified>
</cp:coreProperties>
</file>

<file path=docProps/custom.xml><?xml version="1.0" encoding="utf-8"?>
<Properties xmlns="http://schemas.openxmlformats.org/officeDocument/2006/custom-properties" xmlns:vt="http://schemas.openxmlformats.org/officeDocument/2006/docPropsVTypes"/>
</file>