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7xmddspk48iuit02nd8iw">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dkcpexexz4foxfi9ne1uj">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mxli460hephpqjabnat8_">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8: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Managed multidisciplinary carbon project operations across terrestrial, peatland, and coastal wetland concession areas (&gt;200,000 ha) in West Papua and Southwest Papua. Directed cross-functional field teams across forestry, biodiversity, and social workstreams to execute rigorous primary data collection, ecological baselines, High Carbon Stock Approach (HCSA), High Conservation Value (HCV), and ground-based carbon stock accounting (SNI 7724). Spearheaded multi-level stakeholder management and Free, Prior, and Informed Consent (FPIC) consultations with local customary communities to secure social license to operate (SLO) and establish equitable benefit-sharing frameworks. Coordinated regulatory compliance and statutory licensing pathways with the Ministry of Forestry and the Ministry of Environment, formulating Environmental and Social Management Plans (ESMP) and robust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marine biotas. Field observations and technical reporting directly provided the primary scientific evidence officially adopted by the IUCN Joint SSC/WCPA Task Force for the designation of the Kaimana, West Papua Important Marine Mammal Area (IMMA).</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(8 PUBLICATIONS)</w:t>
      </w:r>
    </w:p>
    <w:p>
      <w:pPr>
        <w:spacing w:after="20" w:before="70"/>
      </w:pPr>
      <w:r>
        <w:rPr>
          <w:rFonts w:ascii="Arial" w:cs="Arial" w:eastAsia="Arial" w:hAnsi="Arial"/>
          <w:b/>
          <w:bCs/>
          <w:color w:val="0F3A5D"/>
          <w:sz w:val="20"/>
          <w:szCs w:val="20"/>
        </w:rPr>
        <w:t xml:space="preserve">1. Digital Shrimp Cultivation: SMARTSHRIMPS.ID - Smart Mobile &amp; Web Application for Indonesian Shrimp Farmers (Budidaya Udang Cara Digital)</w:t>
      </w:r>
    </w:p>
    <w:p>
      <w:pPr>
        <w:spacing w:after="30" w:before="10"/>
      </w:pPr>
      <w:r>
        <w:rPr>
          <w:rFonts w:ascii="Arial" w:cs="Arial" w:eastAsia="Arial" w:hAnsi="Arial"/>
          <w:color w:val="1E293B"/>
          <w:sz w:val="18"/>
          <w:szCs w:val="18"/>
        </w:rPr>
        <w:t xml:space="preserve">(2022). </w:t>
      </w:r>
      <w:r>
        <w:rPr>
          <w:rFonts w:ascii="Arial" w:cs="Arial" w:eastAsia="Arial" w:hAnsi="Arial"/>
          <w:i/>
          <w:iCs/>
          <w:color w:val="64748B"/>
          <w:sz w:val="18"/>
          <w:szCs w:val="18"/>
        </w:rPr>
        <w:t xml:space="preserve">114 Inovasi Indonesia 2022 - Business Innovation Center (BIC) &amp; Ministry of Research and Technology (Kemenristek/BRIN). </w:t>
      </w:r>
      <w:r>
        <w:rPr>
          <w:rFonts w:ascii="Arial" w:cs="Arial" w:eastAsia="Arial" w:hAnsi="Arial"/>
          <w:color w:val="0D9488"/>
          <w:sz w:val="18"/>
          <w:szCs w:val="18"/>
        </w:rPr>
        <w:t xml:space="preserve">DOI/Link: https://bic.web.id/general/view/Budidaya+Udang+Cara+Digital+</w:t>
      </w:r>
    </w:p>
    <w:p>
      <w:pPr>
        <w:spacing w:after="60" w:before="10"/>
        <w:jc w:val="both"/>
      </w:pPr>
      <w:r>
        <w:rPr>
          <w:rFonts w:ascii="Arial" w:cs="Arial" w:eastAsia="Arial" w:hAnsi="Arial"/>
          <w:color w:val="1E293B"/>
          <w:sz w:val="18"/>
          <w:szCs w:val="18"/>
        </w:rPr>
        <w:t xml:space="preserve">National award-winning digital innovation developing a smart mobile and web application for optimizing daily shrimp farming data, real-time water quality monitoring, and traceability to elevate smallholder aquaculture productivity to international export standards.</w:t>
      </w:r>
    </w:p>
    <w:p>
      <w:pPr>
        <w:spacing w:after="20" w:before="70"/>
      </w:pPr>
      <w:r>
        <w:rPr>
          <w:rFonts w:ascii="Arial" w:cs="Arial" w:eastAsia="Arial" w:hAnsi="Arial"/>
          <w:b/>
          <w:bCs/>
          <w:color w:val="0F3A5D"/>
          <w:sz w:val="20"/>
          <w:szCs w:val="20"/>
        </w:rPr>
        <w:t xml:space="preserve">2.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3.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 Findings from field surveys in Arguni Bay directly served as the primary scientific justification for the IUCN Joint SSC/WCPA Task Force in formally designating the Kaimana, West Papua Important Marine Mammal Area (IMMA).</w:t>
      </w:r>
    </w:p>
    <w:p>
      <w:pPr>
        <w:spacing w:after="20" w:before="70"/>
      </w:pPr>
      <w:r>
        <w:rPr>
          <w:rFonts w:ascii="Arial" w:cs="Arial" w:eastAsia="Arial" w:hAnsi="Arial"/>
          <w:b/>
          <w:bCs/>
          <w:color w:val="0F3A5D"/>
          <w:sz w:val="20"/>
          <w:szCs w:val="20"/>
        </w:rPr>
        <w:t xml:space="preserve">4.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5. Spionase Bawah Air: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104 Inovasi Indonesia 2012 - Business Innovation Center (BIC) &amp; Ministry of Research and Technology. </w:t>
      </w:r>
      <w:r>
        <w:rPr>
          <w:rFonts w:ascii="Arial" w:cs="Arial" w:eastAsia="Arial" w:hAnsi="Arial"/>
          <w:color w:val="0D9488"/>
          <w:sz w:val="18"/>
          <w:szCs w:val="18"/>
        </w:rPr>
        <w:t xml:space="preserve">DOI/Link: https://bic.web.id/general/view/Spionase+Bawah+Air</w:t>
      </w:r>
    </w:p>
    <w:p>
      <w:pPr>
        <w:spacing w:after="60" w:before="10"/>
        <w:jc w:val="both"/>
      </w:pPr>
      <w:r>
        <w:rPr>
          <w:rFonts w:ascii="Arial" w:cs="Arial" w:eastAsia="Arial" w:hAnsi="Arial"/>
          <w:color w:val="1E293B"/>
          <w:sz w:val="18"/>
          <w:szCs w:val="18"/>
        </w:rPr>
        <w:t xml:space="preserve">National award-winning research innovation on passive acoustic detection, bioacoustic monitoring, and fish behavior analysis to assess aquaculture fish productivity.</w:t>
      </w:r>
    </w:p>
    <w:p>
      <w:pPr>
        <w:spacing w:after="20" w:before="70"/>
      </w:pPr>
      <w:r>
        <w:rPr>
          <w:rFonts w:ascii="Arial" w:cs="Arial" w:eastAsia="Arial" w:hAnsi="Arial"/>
          <w:b/>
          <w:bCs/>
          <w:color w:val="0F3A5D"/>
          <w:sz w:val="20"/>
          <w:szCs w:val="20"/>
        </w:rPr>
        <w:t xml:space="preserve">6. Prototype Radio Wave-Based Autonomous Patrol Vessel: Design for Maritime Border Security in Outer Islands of Indonesia (Prototipe Kapal Patroli Perairan Tanpa Awak)</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Technical conference paper on the conceptual design of an autonomous surface/underwater vehicle (AUV/ASV) utilizing radio navigation and Differential GPS (DGPS) for automated maritime surveillance and border deterrence against illegal, unreported, and unregulated (IUU) fishing.</w:t>
      </w:r>
    </w:p>
    <w:p>
      <w:pPr>
        <w:spacing w:after="20" w:before="70"/>
      </w:pPr>
      <w:r>
        <w:rPr>
          <w:rFonts w:ascii="Arial" w:cs="Arial" w:eastAsia="Arial" w:hAnsi="Arial"/>
          <w:b/>
          <w:bCs/>
          <w:color w:val="0F3A5D"/>
          <w:sz w:val="20"/>
          <w:szCs w:val="20"/>
        </w:rPr>
        <w:t xml:space="preserve">7. Development of a Hydrokinetic Water Turbine Propeller for Small-Scale Fishing Vessels to Reduce Fossil Fuel Dependence</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Applied engineering paper proposing a hydrokinetic Voith Schneider Propeller design to harness water flow kinetic energy during navigation on small-scale vessels (&lt;5 GT), generating renewable electricity to reduce diesel fuel dependency and operational costs.</w:t>
      </w:r>
    </w:p>
    <w:p>
      <w:pPr>
        <w:spacing w:after="20" w:before="70"/>
      </w:pPr>
      <w:r>
        <w:rPr>
          <w:rFonts w:ascii="Arial" w:cs="Arial" w:eastAsia="Arial" w:hAnsi="Arial"/>
          <w:b/>
          <w:bCs/>
          <w:color w:val="0F3A5D"/>
          <w:sz w:val="20"/>
          <w:szCs w:val="20"/>
        </w:rPr>
        <w:t xml:space="preserve">8. Analysis of Vessel Gross Tonnage Impact on Fishermen Catch Yield at Tegal Coastal Fishing Port, Central Java</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Quantitative empirical study evaluating the correlation between fishing vessel gross tonnage (GT), trip duration, and total catch yield efficiency across fishing fleets operating out of Tegal Coastal Fishing Port.</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"Budidaya Udang Cara Digital (SMARTSHRIMPS.ID)" - a pioneering smart digital application optimizing real-time monitoring and traceability for Indonesian shrimp farmers.</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"Spionase Bawah Air (Sound of Fish Affects Fish Productivity)" utilizing passive bioacoustic detection to determine fish behavior and productivity.</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Greenhouse Gas Management Institute (GHGMI)</w:t>
      </w:r>
      <w:r>
        <w:rPr>
          <w:rFonts w:ascii="Arial" w:cs="Arial" w:eastAsia="Arial" w:hAnsi="Arial"/>
          <w:color w:val="0D9488"/>
          <w:sz w:val="18"/>
          <w:szCs w:val="18"/>
        </w:rPr>
        <w:t xml:space="preserve"> | Member (2024 - Present)</w:t>
      </w:r>
    </w:p>
    <w:p>
      <w:pPr>
        <w:spacing w:after="50" w:before="10"/>
        <w:jc w:val="both"/>
      </w:pPr>
      <w:r>
        <w:rPr>
          <w:rFonts w:ascii="Arial" w:cs="Arial" w:eastAsia="Arial" w:hAnsi="Arial"/>
          <w:color w:val="1E293B"/>
          <w:sz w:val="18"/>
          <w:szCs w:val="18"/>
        </w:rPr>
        <w:t xml:space="preserve">Professional member of A Society of Greenhouse Gas Professionals under the Greenhouse Gas Management Institute (GHGMI), upholding rigorous carbon accounting standards, ethical code of conduct, and robust MRV practices for climate change mitigation.</w:t>
      </w:r>
    </w:p>
    <w:p>
      <w:pPr>
        <w:spacing w:after="20" w:before="60"/>
      </w:pPr>
      <w:r>
        <w:rPr>
          <w:rFonts w:ascii="Arial" w:cs="Arial" w:eastAsia="Arial" w:hAnsi="Arial"/>
          <w:b/>
          <w:bCs/>
          <w:color w:val="0F3A5D"/>
          <w:sz w:val="20"/>
          <w:szCs w:val="20"/>
        </w:rPr>
        <w:t xml:space="preserve">2.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xmddspk48iuit02nd8iw" Type="http://schemas.openxmlformats.org/officeDocument/2006/relationships/hyperlink" Target="https://linkedin.com/in/gmwijaya" TargetMode="External"/><Relationship Id="rIddkcpexexz4foxfi9ne1uj" Type="http://schemas.openxmlformats.org/officeDocument/2006/relationships/hyperlink" Target="https://gedemahendraw.github.io/" TargetMode="External"/><Relationship Id="rIdmxli460hephpqjabnat8_"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2026-10-26T09:03:28.560Z</dcterms:created>
  <dcterms:modified xsi:type="dcterms:W3CDTF">2026-10-26T09:03:28.561Z</dcterms:modified>
</cp:coreProperties>
</file>

<file path=docProps/custom.xml><?xml version="1.0" encoding="utf-8"?>
<Properties xmlns="http://schemas.openxmlformats.org/officeDocument/2006/custom-properties" xmlns:vt="http://schemas.openxmlformats.org/officeDocument/2006/docPropsVTypes"/>
</file>