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Annotation Protocol and Data Access Statement for the AIMRA Framework</w:t>
      </w:r>
    </w:p>
    <w:p>
      <w:pPr>
        <w:jc w:val="center"/>
      </w:pPr>
      <w:r>
        <w:rPr>
          <w:i/>
        </w:rPr>
        <w:t xml:space="preserve">Prepared as a supplementary methodological and reproducibility document for: </w:t>
      </w:r>
      <w:r>
        <w:rPr>
          <w:b/>
        </w:rPr>
        <w:t>AI-Driven Decision Intelligence Architecture for Mineral Resource Management under Regulatory Constraints: The AIMRA Framework</w:t>
      </w:r>
    </w:p>
    <w:p>
      <w:pPr>
        <w:jc w:val="center"/>
      </w:pPr>
      <w:r>
        <w:t>Version 1.0 | May 2026</w:t>
      </w:r>
    </w:p>
    <w:p>
      <w:pPr>
        <w:spacing w:after="120"/>
      </w:pPr>
      <w:r>
        <w:t>Purpose. This document specifies the annotation rules, evidence extraction procedures, coding categories, quality-control checks, and data-access pathway used to support the AIMRA framework. It is designed to make the manuscript reproducible without implying that restricted governmental records are publicly distributable.</w:t>
      </w:r>
    </w:p>
    <w:p>
      <w:pPr>
        <w:spacing w:after="120"/>
      </w:pPr>
      <w:r>
        <w:t>Scope. The protocol covers three evidence streams: (i) structured literature and policy-source screening used for tri-domain gap positioning; (ii) cross-sector AI-regulatory design-principle extraction; and (iii) quantitative index estimation for the South Africa illustrative application, Agbabu tar sands case, and global tar-sand benchmarking.</w:t>
      </w:r>
    </w:p>
    <w:p>
      <w:pPr>
        <w:pStyle w:val="Heading1"/>
      </w:pPr>
      <w:r>
        <w:t>1. Protocol Overview</w:t>
      </w:r>
    </w:p>
    <w:p>
      <w:r>
        <w:t>The annotation protocol operationalises AIMRA as a design-science artefact by converting heterogeneous textual, regulatory, and numerical evidence into transparent, reviewable coding decisions. The unit of annotation is not a sentence alone; it may be a publication, statutory clause, regulatory record, case-event entry, or numerical estimate depending on the evidence stream. Each coded item must retain source provenance, coding rationale, data confidence level, and reviewer/adjudicator status.</w:t>
      </w:r>
    </w:p>
    <w:p>
      <w:r>
        <w:t>The protocol is intended for Stage 1 reproducibility. It documents how the manuscript derives design principles, assigns governance indices, and maps mineral-resource management deficits to AIMRA layers. Stage 2 deployment will require primary institutional data-sharing agreements and ethics approval before restricted case-level records can be released or analysed.</w:t>
      </w:r>
    </w:p>
    <w:p>
      <w:pPr>
        <w:pStyle w:val="Heading1"/>
      </w:pPr>
      <w:r>
        <w:t>2. Evidence Streams and Annotation Units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r>
              <w:rPr>
                <w:b/>
                <w:sz w:val="17"/>
              </w:rPr>
              <w:t>Evidence stream</w:t>
            </w:r>
          </w:p>
        </w:tc>
        <w:tc>
          <w:tcPr>
            <w:tcW w:type="dxa" w:w="2074"/>
            <w:vAlign w:val="top"/>
            <w:shd w:fill="D9EAF7"/>
          </w:tcPr>
          <w:p>
            <w:r>
              <w:rPr>
                <w:b/>
                <w:sz w:val="17"/>
              </w:rPr>
              <w:t>Annotation unit</w:t>
            </w:r>
          </w:p>
        </w:tc>
        <w:tc>
          <w:tcPr>
            <w:tcW w:type="dxa" w:w="2074"/>
            <w:vAlign w:val="top"/>
            <w:shd w:fill="D9EAF7"/>
          </w:tcPr>
          <w:p>
            <w:r>
              <w:rPr>
                <w:b/>
                <w:sz w:val="17"/>
              </w:rPr>
              <w:t>Main purpose</w:t>
            </w:r>
          </w:p>
        </w:tc>
        <w:tc>
          <w:tcPr>
            <w:tcW w:type="dxa" w:w="2074"/>
            <w:vAlign w:val="top"/>
            <w:shd w:fill="D9EAF7"/>
          </w:tcPr>
          <w:p>
            <w:r>
              <w:rPr>
                <w:b/>
                <w:sz w:val="17"/>
              </w:rPr>
              <w:t>Typical source</w:t>
            </w:r>
          </w:p>
        </w:tc>
        <w:tc>
          <w:tcPr>
            <w:tcW w:type="dxa" w:w="2074"/>
            <w:vAlign w:val="top"/>
            <w:shd w:fill="D9EAF7"/>
          </w:tcPr>
          <w:p>
            <w:r>
              <w:rPr>
                <w:b/>
                <w:sz w:val="17"/>
              </w:rPr>
              <w:t>Primary output</w:t>
            </w:r>
          </w:p>
        </w:tc>
      </w:tr>
      <w:tr>
        <w:tc>
          <w:tcPr>
            <w:tcW w:type="dxa" w:w="2074"/>
            <w:vAlign w:val="top"/>
          </w:tcPr>
          <w:p>
            <w:r>
              <w:rPr>
                <w:sz w:val="17"/>
              </w:rPr>
              <w:t>Structured literature and policy screening</w:t>
            </w:r>
          </w:p>
        </w:tc>
        <w:tc>
          <w:tcPr>
            <w:tcW w:type="dxa" w:w="2074"/>
            <w:vAlign w:val="top"/>
          </w:tcPr>
          <w:p>
            <w:r>
              <w:rPr>
                <w:sz w:val="17"/>
              </w:rPr>
              <w:t>Article, report, policy document, or review paper</w:t>
            </w:r>
          </w:p>
        </w:tc>
        <w:tc>
          <w:tcPr>
            <w:tcW w:type="dxa" w:w="2074"/>
            <w:vAlign w:val="top"/>
          </w:tcPr>
          <w:p>
            <w:r>
              <w:rPr>
                <w:sz w:val="17"/>
              </w:rPr>
              <w:t>Identify whether prior work combines AI, mineral/resource management, regulatory systems, African context, and measurable performance outcomes</w:t>
            </w:r>
          </w:p>
        </w:tc>
        <w:tc>
          <w:tcPr>
            <w:tcW w:type="dxa" w:w="2074"/>
            <w:vAlign w:val="top"/>
          </w:tcPr>
          <w:p>
            <w:r>
              <w:rPr>
                <w:sz w:val="17"/>
              </w:rPr>
              <w:t>Scopus, Web of Science, Google Scholar, Africa Mining Vision, EITI, World Bank, AfDB and sector reports</w:t>
            </w:r>
          </w:p>
        </w:tc>
        <w:tc>
          <w:tcPr>
            <w:tcW w:type="dxa" w:w="2074"/>
            <w:vAlign w:val="top"/>
          </w:tcPr>
          <w:p>
            <w:r>
              <w:rPr>
                <w:sz w:val="17"/>
              </w:rPr>
              <w:t>Tri-domain gap matrix and exclusion log</w:t>
            </w:r>
          </w:p>
        </w:tc>
      </w:tr>
      <w:tr>
        <w:tc>
          <w:tcPr>
            <w:tcW w:type="dxa" w:w="2074"/>
            <w:vAlign w:val="top"/>
          </w:tcPr>
          <w:p>
            <w:r>
              <w:rPr>
                <w:sz w:val="17"/>
              </w:rPr>
              <w:t>Cross-sector AI-regulatory review</w:t>
            </w:r>
          </w:p>
        </w:tc>
        <w:tc>
          <w:tcPr>
            <w:tcW w:type="dxa" w:w="2074"/>
            <w:vAlign w:val="top"/>
          </w:tcPr>
          <w:p>
            <w:r>
              <w:rPr>
                <w:sz w:val="17"/>
              </w:rPr>
              <w:t>Sector case, regulatory framework, or governance pattern</w:t>
            </w:r>
          </w:p>
        </w:tc>
        <w:tc>
          <w:tcPr>
            <w:tcW w:type="dxa" w:w="2074"/>
            <w:vAlign w:val="top"/>
          </w:tcPr>
          <w:p>
            <w:r>
              <w:rPr>
                <w:sz w:val="17"/>
              </w:rPr>
              <w:t>Extract transferable AI-regulatory design principles</w:t>
            </w:r>
          </w:p>
        </w:tc>
        <w:tc>
          <w:tcPr>
            <w:tcW w:type="dxa" w:w="2074"/>
            <w:vAlign w:val="top"/>
          </w:tcPr>
          <w:p>
            <w:r>
              <w:rPr>
                <w:sz w:val="17"/>
              </w:rPr>
              <w:t>Financial RegTech, healthcare SaMD, transport AI regulation, smart-energy governance</w:t>
            </w:r>
          </w:p>
        </w:tc>
        <w:tc>
          <w:tcPr>
            <w:tcW w:type="dxa" w:w="2074"/>
            <w:vAlign w:val="top"/>
          </w:tcPr>
          <w:p>
            <w:r>
              <w:rPr>
                <w:sz w:val="17"/>
              </w:rPr>
              <w:t>Design-principle table mapping lessons to AIMRA layers</w:t>
            </w:r>
          </w:p>
        </w:tc>
      </w:tr>
      <w:tr>
        <w:tc>
          <w:tcPr>
            <w:tcW w:type="dxa" w:w="2074"/>
            <w:vAlign w:val="top"/>
          </w:tcPr>
          <w:p>
            <w:r>
              <w:rPr>
                <w:sz w:val="17"/>
              </w:rPr>
              <w:t>Statutory and regulatory translation</w:t>
            </w:r>
          </w:p>
        </w:tc>
        <w:tc>
          <w:tcPr>
            <w:tcW w:type="dxa" w:w="2074"/>
            <w:vAlign w:val="top"/>
          </w:tcPr>
          <w:p>
            <w:r>
              <w:rPr>
                <w:sz w:val="17"/>
              </w:rPr>
              <w:t>Legal clause, compliance requirement, threshold, reporting duty, or enforcement condition</w:t>
            </w:r>
          </w:p>
        </w:tc>
        <w:tc>
          <w:tcPr>
            <w:tcW w:type="dxa" w:w="2074"/>
            <w:vAlign w:val="top"/>
          </w:tcPr>
          <w:p>
            <w:r>
              <w:rPr>
                <w:sz w:val="17"/>
              </w:rPr>
              <w:t>Convert legal provisions into machine-interpretable rule structures</w:t>
            </w:r>
          </w:p>
        </w:tc>
        <w:tc>
          <w:tcPr>
            <w:tcW w:type="dxa" w:w="2074"/>
            <w:vAlign w:val="top"/>
          </w:tcPr>
          <w:p>
            <w:r>
              <w:rPr>
                <w:sz w:val="17"/>
              </w:rPr>
              <w:t>Mining acts, petroleum/bitumen statutes, environmental regulations, administrative-law procedures</w:t>
            </w:r>
          </w:p>
        </w:tc>
        <w:tc>
          <w:tcPr>
            <w:tcW w:type="dxa" w:w="2074"/>
            <w:vAlign w:val="top"/>
          </w:tcPr>
          <w:p>
            <w:r>
              <w:rPr>
                <w:sz w:val="17"/>
              </w:rPr>
              <w:t>IF-THEN statutory encoding candidates and legal-validity flags</w:t>
            </w:r>
          </w:p>
        </w:tc>
      </w:tr>
      <w:tr>
        <w:tc>
          <w:tcPr>
            <w:tcW w:type="dxa" w:w="2074"/>
            <w:vAlign w:val="top"/>
          </w:tcPr>
          <w:p>
            <w:r>
              <w:rPr>
                <w:sz w:val="17"/>
              </w:rPr>
              <w:t>Governance index estimation</w:t>
            </w:r>
          </w:p>
        </w:tc>
        <w:tc>
          <w:tcPr>
            <w:tcW w:type="dxa" w:w="2074"/>
            <w:vAlign w:val="top"/>
          </w:tcPr>
          <w:p>
            <w:r>
              <w:rPr>
                <w:sz w:val="17"/>
              </w:rPr>
              <w:t>Metric record, case log, benchmark value, reconciliation discrepancy, audit indicator, or expert estimate</w:t>
            </w:r>
          </w:p>
        </w:tc>
        <w:tc>
          <w:tcPr>
            <w:tcW w:type="dxa" w:w="2074"/>
            <w:vAlign w:val="top"/>
          </w:tcPr>
          <w:p>
            <w:r>
              <w:rPr>
                <w:sz w:val="17"/>
              </w:rPr>
              <w:t>Populate RLI, CDR, RLR, RCS, AAI and composite G</w:t>
            </w:r>
          </w:p>
        </w:tc>
        <w:tc>
          <w:tcPr>
            <w:tcW w:type="dxa" w:w="2074"/>
            <w:vAlign w:val="top"/>
          </w:tcPr>
          <w:p>
            <w:r>
              <w:rPr>
                <w:sz w:val="17"/>
              </w:rPr>
              <w:t>DMRE reports, EITI reconciliation data, NEITI records, AfDB governance indices, WGI, institutional reports</w:t>
            </w:r>
          </w:p>
        </w:tc>
        <w:tc>
          <w:tcPr>
            <w:tcW w:type="dxa" w:w="2074"/>
            <w:vAlign w:val="top"/>
          </w:tcPr>
          <w:p>
            <w:r>
              <w:rPr>
                <w:sz w:val="17"/>
              </w:rPr>
              <w:t>Metric table with confidence tier, uncertainty range, and calibration path</w:t>
            </w:r>
          </w:p>
        </w:tc>
      </w:tr>
      <w:tr>
        <w:tc>
          <w:tcPr>
            <w:tcW w:type="dxa" w:w="2074"/>
            <w:vAlign w:val="top"/>
          </w:tcPr>
          <w:p>
            <w:r>
              <w:rPr>
                <w:sz w:val="17"/>
              </w:rPr>
              <w:t>Case diagnostic mapping</w:t>
            </w:r>
          </w:p>
        </w:tc>
        <w:tc>
          <w:tcPr>
            <w:tcW w:type="dxa" w:w="2074"/>
            <w:vAlign w:val="top"/>
          </w:tcPr>
          <w:p>
            <w:r>
              <w:rPr>
                <w:sz w:val="17"/>
              </w:rPr>
              <w:t>Observed governance deficit or management failure</w:t>
            </w:r>
          </w:p>
        </w:tc>
        <w:tc>
          <w:tcPr>
            <w:tcW w:type="dxa" w:w="2074"/>
            <w:vAlign w:val="top"/>
          </w:tcPr>
          <w:p>
            <w:r>
              <w:rPr>
                <w:sz w:val="17"/>
              </w:rPr>
              <w:t>Map deficits to AIMRA intervention layers and expected index improvement</w:t>
            </w:r>
          </w:p>
        </w:tc>
        <w:tc>
          <w:tcPr>
            <w:tcW w:type="dxa" w:w="2074"/>
            <w:vAlign w:val="top"/>
          </w:tcPr>
          <w:p>
            <w:r>
              <w:rPr>
                <w:sz w:val="17"/>
              </w:rPr>
              <w:t>Agbabu tar sands, South Africa DMRE, DRC ASM and comparator cases</w:t>
            </w:r>
          </w:p>
        </w:tc>
        <w:tc>
          <w:tcPr>
            <w:tcW w:type="dxa" w:w="2074"/>
            <w:vAlign w:val="top"/>
          </w:tcPr>
          <w:p>
            <w:r>
              <w:rPr>
                <w:sz w:val="17"/>
              </w:rPr>
              <w:t>Layer-to-gap mapping table</w:t>
            </w:r>
          </w:p>
        </w:tc>
      </w:tr>
    </w:tbl>
    <w:p>
      <w:pPr>
        <w:pStyle w:val="Heading1"/>
      </w:pPr>
      <w:r>
        <w:t>3. Core Coding Categories</w:t>
      </w:r>
    </w:p>
    <w:p>
      <w:pPr>
        <w:pStyle w:val="Heading1"/>
      </w:pPr>
      <w:r>
        <w:t>3.1 AIMRA Layer Coding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r>
              <w:rPr>
                <w:b/>
                <w:sz w:val="17"/>
              </w:rPr>
              <w:t>Code</w:t>
            </w:r>
          </w:p>
        </w:tc>
        <w:tc>
          <w:tcPr>
            <w:tcW w:type="dxa" w:w="2074"/>
            <w:vAlign w:val="top"/>
            <w:shd w:fill="D9EAF7"/>
          </w:tcPr>
          <w:p>
            <w:r>
              <w:rPr>
                <w:b/>
                <w:sz w:val="17"/>
              </w:rPr>
              <w:t>Layer label</w:t>
            </w:r>
          </w:p>
        </w:tc>
        <w:tc>
          <w:tcPr>
            <w:tcW w:type="dxa" w:w="2074"/>
            <w:vAlign w:val="top"/>
            <w:shd w:fill="D9EAF7"/>
          </w:tcPr>
          <w:p>
            <w:r>
              <w:rPr>
                <w:b/>
                <w:sz w:val="17"/>
              </w:rPr>
              <w:t>Operational definition</w:t>
            </w:r>
          </w:p>
        </w:tc>
        <w:tc>
          <w:tcPr>
            <w:tcW w:type="dxa" w:w="2074"/>
            <w:vAlign w:val="top"/>
            <w:shd w:fill="D9EAF7"/>
          </w:tcPr>
          <w:p>
            <w:r>
              <w:rPr>
                <w:b/>
                <w:sz w:val="17"/>
              </w:rPr>
              <w:t>Inclusion criteria</w:t>
            </w:r>
          </w:p>
        </w:tc>
        <w:tc>
          <w:tcPr>
            <w:tcW w:type="dxa" w:w="2074"/>
            <w:vAlign w:val="top"/>
            <w:shd w:fill="D9EAF7"/>
          </w:tcPr>
          <w:p>
            <w:r>
              <w:rPr>
                <w:b/>
                <w:sz w:val="17"/>
              </w:rPr>
              <w:t>Exclusion criteria</w:t>
            </w:r>
          </w:p>
        </w:tc>
      </w:tr>
      <w:tr>
        <w:tc>
          <w:tcPr>
            <w:tcW w:type="dxa" w:w="2074"/>
            <w:vAlign w:val="top"/>
          </w:tcPr>
          <w:p>
            <w:r>
              <w:rPr>
                <w:sz w:val="17"/>
              </w:rPr>
              <w:t>L1</w:t>
            </w:r>
          </w:p>
        </w:tc>
        <w:tc>
          <w:tcPr>
            <w:tcW w:type="dxa" w:w="2074"/>
            <w:vAlign w:val="top"/>
          </w:tcPr>
          <w:p>
            <w:r>
              <w:rPr>
                <w:sz w:val="17"/>
              </w:rPr>
              <w:t>Extractive Domain Intelligence Infrastructure</w:t>
            </w:r>
          </w:p>
        </w:tc>
        <w:tc>
          <w:tcPr>
            <w:tcW w:type="dxa" w:w="2074"/>
            <w:vAlign w:val="top"/>
          </w:tcPr>
          <w:p>
            <w:r>
              <w:rPr>
                <w:sz w:val="17"/>
              </w:rPr>
              <w:t>Evidence concerning data availability, interoperability, reporting systems, cadastre integration, production data, environmental records, royalty declarations, or community-impact records.</w:t>
            </w:r>
          </w:p>
        </w:tc>
        <w:tc>
          <w:tcPr>
            <w:tcW w:type="dxa" w:w="2074"/>
            <w:vAlign w:val="top"/>
          </w:tcPr>
          <w:p>
            <w:r>
              <w:rPr>
                <w:sz w:val="17"/>
              </w:rPr>
              <w:t>Mentions fragmented databases, inter-ministerial data exchange, API integration, reporting standards, sensor data, data residency, source completeness.</w:t>
            </w:r>
          </w:p>
        </w:tc>
        <w:tc>
          <w:tcPr>
            <w:tcW w:type="dxa" w:w="2074"/>
            <w:vAlign w:val="top"/>
          </w:tcPr>
          <w:p>
            <w:r>
              <w:rPr>
                <w:sz w:val="17"/>
              </w:rPr>
              <w:t>Pure AI model performance without data-infrastructure implications.</w:t>
            </w:r>
          </w:p>
        </w:tc>
      </w:tr>
      <w:tr>
        <w:tc>
          <w:tcPr>
            <w:tcW w:type="dxa" w:w="2074"/>
            <w:vAlign w:val="top"/>
          </w:tcPr>
          <w:p>
            <w:r>
              <w:rPr>
                <w:sz w:val="17"/>
              </w:rPr>
              <w:t>L2</w:t>
            </w:r>
          </w:p>
        </w:tc>
        <w:tc>
          <w:tcPr>
            <w:tcW w:type="dxa" w:w="2074"/>
            <w:vAlign w:val="top"/>
          </w:tcPr>
          <w:p>
            <w:r>
              <w:rPr>
                <w:sz w:val="17"/>
              </w:rPr>
              <w:t>AI Analytical Core</w:t>
            </w:r>
          </w:p>
        </w:tc>
        <w:tc>
          <w:tcPr>
            <w:tcW w:type="dxa" w:w="2074"/>
            <w:vAlign w:val="top"/>
          </w:tcPr>
          <w:p>
            <w:r>
              <w:rPr>
                <w:sz w:val="17"/>
              </w:rPr>
              <w:t>Evidence concerning AI/ML modules that detect anomalies, score risk, predict violations, or optimise concession allocation.</w:t>
            </w:r>
          </w:p>
        </w:tc>
        <w:tc>
          <w:tcPr>
            <w:tcW w:type="dxa" w:w="2074"/>
            <w:vAlign w:val="top"/>
          </w:tcPr>
          <w:p>
            <w:r>
              <w:rPr>
                <w:sz w:val="17"/>
              </w:rPr>
              <w:t>Isolation Forest, One-Class SVM, Random Forest, Gradient Boosting, remote sensing, Bayesian spatio-temporal prediction, model evaluation metrics.</w:t>
            </w:r>
          </w:p>
        </w:tc>
        <w:tc>
          <w:tcPr>
            <w:tcW w:type="dxa" w:w="2074"/>
            <w:vAlign w:val="top"/>
          </w:tcPr>
          <w:p>
            <w:r>
              <w:rPr>
                <w:sz w:val="17"/>
              </w:rPr>
              <w:t>Manual inspections or descriptive dashboards without algorithmic analysis.</w:t>
            </w:r>
          </w:p>
        </w:tc>
      </w:tr>
      <w:tr>
        <w:tc>
          <w:tcPr>
            <w:tcW w:type="dxa" w:w="2074"/>
            <w:vAlign w:val="top"/>
          </w:tcPr>
          <w:p>
            <w:r>
              <w:rPr>
                <w:sz w:val="17"/>
              </w:rPr>
              <w:t>L3</w:t>
            </w:r>
          </w:p>
        </w:tc>
        <w:tc>
          <w:tcPr>
            <w:tcW w:type="dxa" w:w="2074"/>
            <w:vAlign w:val="top"/>
          </w:tcPr>
          <w:p>
            <w:r>
              <w:rPr>
                <w:sz w:val="17"/>
              </w:rPr>
              <w:t>Regulatory Translation Interface</w:t>
            </w:r>
          </w:p>
        </w:tc>
        <w:tc>
          <w:tcPr>
            <w:tcW w:type="dxa" w:w="2074"/>
            <w:vAlign w:val="top"/>
          </w:tcPr>
          <w:p>
            <w:r>
              <w:rPr>
                <w:sz w:val="17"/>
              </w:rPr>
              <w:t>Evidence concerning statutory encoding, legal thresholds, compliance rules, decision consistency, and legally auditable output formatting.</w:t>
            </w:r>
          </w:p>
        </w:tc>
        <w:tc>
          <w:tcPr>
            <w:tcW w:type="dxa" w:w="2074"/>
            <w:vAlign w:val="top"/>
          </w:tcPr>
          <w:p>
            <w:r>
              <w:rPr>
                <w:sz w:val="17"/>
              </w:rPr>
              <w:t>IF-THEN legal rules, mining-code clauses, environmental thresholds, royalty rules, administrative-law constraints, decision consistency.</w:t>
            </w:r>
          </w:p>
        </w:tc>
        <w:tc>
          <w:tcPr>
            <w:tcW w:type="dxa" w:w="2074"/>
            <w:vAlign w:val="top"/>
          </w:tcPr>
          <w:p>
            <w:r>
              <w:rPr>
                <w:sz w:val="17"/>
              </w:rPr>
              <w:t>General policy discussion without machine-interpretable rule logic.</w:t>
            </w:r>
          </w:p>
        </w:tc>
      </w:tr>
      <w:tr>
        <w:tc>
          <w:tcPr>
            <w:tcW w:type="dxa" w:w="2074"/>
            <w:vAlign w:val="top"/>
          </w:tcPr>
          <w:p>
            <w:r>
              <w:rPr>
                <w:sz w:val="17"/>
              </w:rPr>
              <w:t>L4</w:t>
            </w:r>
          </w:p>
        </w:tc>
        <w:tc>
          <w:tcPr>
            <w:tcW w:type="dxa" w:w="2074"/>
            <w:vAlign w:val="top"/>
          </w:tcPr>
          <w:p>
            <w:r>
              <w:rPr>
                <w:sz w:val="17"/>
              </w:rPr>
              <w:t>Oversight and Accountability</w:t>
            </w:r>
          </w:p>
        </w:tc>
        <w:tc>
          <w:tcPr>
            <w:tcW w:type="dxa" w:w="2074"/>
            <w:vAlign w:val="top"/>
          </w:tcPr>
          <w:p>
            <w:r>
              <w:rPr>
                <w:sz w:val="17"/>
              </w:rPr>
              <w:t>Evidence concerning human review, audit trails, ethics oversight, transparency dashboards, explainability, bias review, appealability, or public accountability.</w:t>
            </w:r>
          </w:p>
        </w:tc>
        <w:tc>
          <w:tcPr>
            <w:tcW w:type="dxa" w:w="2074"/>
            <w:vAlign w:val="top"/>
          </w:tcPr>
          <w:p>
            <w:r>
              <w:rPr>
                <w:sz w:val="17"/>
              </w:rPr>
              <w:t>Human review panels, algorithmic audit logs, independent ethics audits, parliamentary/public dashboards, transparency obligations.</w:t>
            </w:r>
          </w:p>
        </w:tc>
        <w:tc>
          <w:tcPr>
            <w:tcW w:type="dxa" w:w="2074"/>
            <w:vAlign w:val="top"/>
          </w:tcPr>
          <w:p>
            <w:r>
              <w:rPr>
                <w:sz w:val="17"/>
              </w:rPr>
              <w:t>General trust statements with no oversight mechanism.</w:t>
            </w:r>
          </w:p>
        </w:tc>
      </w:tr>
    </w:tbl>
    <w:p>
      <w:pPr>
        <w:pStyle w:val="Heading2"/>
      </w:pPr>
      <w:r>
        <w:t>3.2 Governance-Index Coding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r>
              <w:rPr>
                <w:b/>
                <w:sz w:val="17"/>
              </w:rPr>
              <w:t>Index</w:t>
            </w:r>
          </w:p>
        </w:tc>
        <w:tc>
          <w:tcPr>
            <w:tcW w:type="dxa" w:w="2074"/>
            <w:vAlign w:val="top"/>
            <w:shd w:fill="D9EAF7"/>
          </w:tcPr>
          <w:p>
            <w:r>
              <w:rPr>
                <w:b/>
                <w:sz w:val="17"/>
              </w:rPr>
              <w:t>Coding target</w:t>
            </w:r>
          </w:p>
        </w:tc>
        <w:tc>
          <w:tcPr>
            <w:tcW w:type="dxa" w:w="2074"/>
            <w:vAlign w:val="top"/>
            <w:shd w:fill="D9EAF7"/>
          </w:tcPr>
          <w:p>
            <w:r>
              <w:rPr>
                <w:b/>
                <w:sz w:val="17"/>
              </w:rPr>
              <w:t>Raw variable</w:t>
            </w:r>
          </w:p>
        </w:tc>
        <w:tc>
          <w:tcPr>
            <w:tcW w:type="dxa" w:w="2074"/>
            <w:vAlign w:val="top"/>
            <w:shd w:fill="D9EAF7"/>
          </w:tcPr>
          <w:p>
            <w:r>
              <w:rPr>
                <w:b/>
                <w:sz w:val="17"/>
              </w:rPr>
              <w:t>Normalisation rule</w:t>
            </w:r>
          </w:p>
        </w:tc>
        <w:tc>
          <w:tcPr>
            <w:tcW w:type="dxa" w:w="2074"/>
            <w:vAlign w:val="top"/>
            <w:shd w:fill="D9EAF7"/>
          </w:tcPr>
          <w:p>
            <w:r>
              <w:rPr>
                <w:b/>
                <w:sz w:val="17"/>
              </w:rPr>
              <w:t>Data-quality note</w:t>
            </w:r>
          </w:p>
        </w:tc>
      </w:tr>
      <w:tr>
        <w:tc>
          <w:tcPr>
            <w:tcW w:type="dxa" w:w="2074"/>
            <w:vAlign w:val="top"/>
          </w:tcPr>
          <w:p>
            <w:r>
              <w:rPr>
                <w:sz w:val="17"/>
              </w:rPr>
              <w:t>RLI</w:t>
            </w:r>
          </w:p>
        </w:tc>
        <w:tc>
          <w:tcPr>
            <w:tcW w:type="dxa" w:w="2074"/>
            <w:vAlign w:val="top"/>
          </w:tcPr>
          <w:p>
            <w:r>
              <w:rPr>
                <w:sz w:val="17"/>
              </w:rPr>
              <w:t>Decision-cycle time / regulatory latency</w:t>
            </w:r>
          </w:p>
        </w:tc>
        <w:tc>
          <w:tcPr>
            <w:tcW w:type="dxa" w:w="2074"/>
            <w:vAlign w:val="top"/>
          </w:tcPr>
          <w:p>
            <w:r>
              <w:rPr>
                <w:sz w:val="17"/>
              </w:rPr>
              <w:t>Mean elapsed days between resource-system state change and formal management response</w:t>
            </w:r>
          </w:p>
        </w:tc>
        <w:tc>
          <w:tcPr>
            <w:tcW w:type="dxa" w:w="2074"/>
            <w:vAlign w:val="top"/>
          </w:tcPr>
          <w:p>
            <w:r>
              <w:rPr>
                <w:sz w:val="17"/>
              </w:rPr>
              <w:t>RLI_norm = 1 - min(RLI / 365, 1)</w:t>
            </w:r>
          </w:p>
        </w:tc>
        <w:tc>
          <w:tcPr>
            <w:tcW w:type="dxa" w:w="2074"/>
            <w:vAlign w:val="top"/>
          </w:tcPr>
          <w:p>
            <w:r>
              <w:rPr>
                <w:sz w:val="17"/>
              </w:rPr>
              <w:t>Prefer official case logs or enforcement records; report assumptions where only aggregate timelines exist.</w:t>
            </w:r>
          </w:p>
        </w:tc>
      </w:tr>
      <w:tr>
        <w:tc>
          <w:tcPr>
            <w:tcW w:type="dxa" w:w="2074"/>
            <w:vAlign w:val="top"/>
          </w:tcPr>
          <w:p>
            <w:r>
              <w:rPr>
                <w:sz w:val="17"/>
              </w:rPr>
              <w:t>CDR</w:t>
            </w:r>
          </w:p>
        </w:tc>
        <w:tc>
          <w:tcPr>
            <w:tcW w:type="dxa" w:w="2074"/>
            <w:vAlign w:val="top"/>
          </w:tcPr>
          <w:p>
            <w:r>
              <w:rPr>
                <w:sz w:val="17"/>
              </w:rPr>
              <w:t>Operational visibility / compliance detection</w:t>
            </w:r>
          </w:p>
        </w:tc>
        <w:tc>
          <w:tcPr>
            <w:tcW w:type="dxa" w:w="2074"/>
            <w:vAlign w:val="top"/>
          </w:tcPr>
          <w:p>
            <w:r>
              <w:rPr>
                <w:sz w:val="17"/>
              </w:rPr>
              <w:t>Detected violations or anomalies divided by independently estimated actual violations/anomalies</w:t>
            </w:r>
          </w:p>
        </w:tc>
        <w:tc>
          <w:tcPr>
            <w:tcW w:type="dxa" w:w="2074"/>
            <w:vAlign w:val="top"/>
          </w:tcPr>
          <w:p>
            <w:r>
              <w:rPr>
                <w:sz w:val="17"/>
              </w:rPr>
              <w:t>Already bounded in [0,1]</w:t>
            </w:r>
          </w:p>
        </w:tc>
        <w:tc>
          <w:tcPr>
            <w:tcW w:type="dxa" w:w="2074"/>
            <w:vAlign w:val="top"/>
          </w:tcPr>
          <w:p>
            <w:r>
              <w:rPr>
                <w:sz w:val="17"/>
              </w:rPr>
              <w:t>Requires denominator logic; document whether actual violations are measured, reconciled, or estimated.</w:t>
            </w:r>
          </w:p>
        </w:tc>
      </w:tr>
      <w:tr>
        <w:tc>
          <w:tcPr>
            <w:tcW w:type="dxa" w:w="2074"/>
            <w:vAlign w:val="top"/>
          </w:tcPr>
          <w:p>
            <w:r>
              <w:rPr>
                <w:sz w:val="17"/>
              </w:rPr>
              <w:t>RLR</w:t>
            </w:r>
          </w:p>
        </w:tc>
        <w:tc>
          <w:tcPr>
            <w:tcW w:type="dxa" w:w="2074"/>
            <w:vAlign w:val="top"/>
          </w:tcPr>
          <w:p>
            <w:r>
              <w:rPr>
                <w:sz w:val="17"/>
              </w:rPr>
              <w:t>Resource value loss / revenue leakage</w:t>
            </w:r>
          </w:p>
        </w:tc>
        <w:tc>
          <w:tcPr>
            <w:tcW w:type="dxa" w:w="2074"/>
            <w:vAlign w:val="top"/>
          </w:tcPr>
          <w:p>
            <w:r>
              <w:rPr>
                <w:sz w:val="17"/>
              </w:rPr>
              <w:t>Gap between declared and independently estimated mineral revenue as a ratio of estimated revenue</w:t>
            </w:r>
          </w:p>
        </w:tc>
        <w:tc>
          <w:tcPr>
            <w:tcW w:type="dxa" w:w="2074"/>
            <w:vAlign w:val="top"/>
          </w:tcPr>
          <w:p>
            <w:r>
              <w:rPr>
                <w:sz w:val="17"/>
              </w:rPr>
              <w:t>RLR_norm = 1 - min(RLR, 1)</w:t>
            </w:r>
          </w:p>
        </w:tc>
        <w:tc>
          <w:tcPr>
            <w:tcW w:type="dxa" w:w="2074"/>
            <w:vAlign w:val="top"/>
          </w:tcPr>
          <w:p>
            <w:r>
              <w:rPr>
                <w:sz w:val="17"/>
              </w:rPr>
              <w:t>Use reconciliation reports where possible; otherwise provide uncertainty range and triangulation basis.</w:t>
            </w:r>
          </w:p>
        </w:tc>
      </w:tr>
      <w:tr>
        <w:tc>
          <w:tcPr>
            <w:tcW w:type="dxa" w:w="2074"/>
            <w:vAlign w:val="top"/>
          </w:tcPr>
          <w:p>
            <w:r>
              <w:rPr>
                <w:sz w:val="17"/>
              </w:rPr>
              <w:t>RCS</w:t>
            </w:r>
          </w:p>
        </w:tc>
        <w:tc>
          <w:tcPr>
            <w:tcW w:type="dxa" w:w="2074"/>
            <w:vAlign w:val="top"/>
          </w:tcPr>
          <w:p>
            <w:r>
              <w:rPr>
                <w:sz w:val="17"/>
              </w:rPr>
              <w:t>Decision stability / consistency</w:t>
            </w:r>
          </w:p>
        </w:tc>
        <w:tc>
          <w:tcPr>
            <w:tcW w:type="dxa" w:w="2074"/>
            <w:vAlign w:val="top"/>
          </w:tcPr>
          <w:p>
            <w:r>
              <w:rPr>
                <w:sz w:val="17"/>
              </w:rPr>
              <w:t>Standardised reduction in variance across comparable regulatory decisions</w:t>
            </w:r>
          </w:p>
        </w:tc>
        <w:tc>
          <w:tcPr>
            <w:tcW w:type="dxa" w:w="2074"/>
            <w:vAlign w:val="top"/>
          </w:tcPr>
          <w:p>
            <w:r>
              <w:rPr>
                <w:sz w:val="17"/>
              </w:rPr>
              <w:t>Already bounded in [0,1]</w:t>
            </w:r>
          </w:p>
        </w:tc>
        <w:tc>
          <w:tcPr>
            <w:tcW w:type="dxa" w:w="2074"/>
            <w:vAlign w:val="top"/>
          </w:tcPr>
          <w:p>
            <w:r>
              <w:rPr>
                <w:sz w:val="17"/>
              </w:rPr>
              <w:t>Requires comparable case grouping; for Stage 1, WGI or decision-register proxies may be used with caveats.</w:t>
            </w:r>
          </w:p>
        </w:tc>
      </w:tr>
      <w:tr>
        <w:tc>
          <w:tcPr>
            <w:tcW w:type="dxa" w:w="2074"/>
            <w:vAlign w:val="top"/>
          </w:tcPr>
          <w:p>
            <w:r>
              <w:rPr>
                <w:sz w:val="17"/>
              </w:rPr>
              <w:t>AAI</w:t>
            </w:r>
          </w:p>
        </w:tc>
        <w:tc>
          <w:tcPr>
            <w:tcW w:type="dxa" w:w="2074"/>
            <w:vAlign w:val="top"/>
          </w:tcPr>
          <w:p>
            <w:r>
              <w:rPr>
                <w:sz w:val="17"/>
              </w:rPr>
              <w:t>Auditability, accountability and explainability</w:t>
            </w:r>
          </w:p>
        </w:tc>
        <w:tc>
          <w:tcPr>
            <w:tcW w:type="dxa" w:w="2074"/>
            <w:vAlign w:val="top"/>
          </w:tcPr>
          <w:p>
            <w:r>
              <w:rPr>
                <w:sz w:val="17"/>
              </w:rPr>
              <w:t>Composite of audit-trail completeness, explanation compliance, and ethics-oversight engagement</w:t>
            </w:r>
          </w:p>
        </w:tc>
        <w:tc>
          <w:tcPr>
            <w:tcW w:type="dxa" w:w="2074"/>
            <w:vAlign w:val="top"/>
          </w:tcPr>
          <w:p>
            <w:r>
              <w:rPr>
                <w:sz w:val="17"/>
              </w:rPr>
              <w:t>AAI = mean(ATC, EC, EOE), bounded in [0,1]</w:t>
            </w:r>
          </w:p>
        </w:tc>
        <w:tc>
          <w:tcPr>
            <w:tcW w:type="dxa" w:w="2074"/>
            <w:vAlign w:val="top"/>
          </w:tcPr>
          <w:p>
            <w:r>
              <w:rPr>
                <w:sz w:val="17"/>
              </w:rPr>
              <w:t>Manual-system baselines should be clearly labelled estimates until institutional audit logs exist.</w:t>
            </w:r>
          </w:p>
        </w:tc>
      </w:tr>
    </w:tbl>
    <w:p>
      <w:pPr>
        <w:pStyle w:val="Heading1"/>
      </w:pPr>
      <w:r>
        <w:t>4. Annotation Procedure</w:t>
      </w:r>
    </w:p>
    <w:p>
      <w:r>
        <w:rPr>
          <w:b/>
        </w:rPr>
        <w:t xml:space="preserve">Step 1 — Source registration: </w:t>
      </w:r>
      <w:r>
        <w:t>Assign each source a unique Source ID. Record title, author/agency, year, jurisdiction, URL/DOI where available, document type, access date, and whether the source is public, restricted, or derived.</w:t>
      </w:r>
    </w:p>
    <w:p>
      <w:r>
        <w:rPr>
          <w:b/>
        </w:rPr>
        <w:t xml:space="preserve">Step 2 — Screening: </w:t>
      </w:r>
      <w:r>
        <w:t>Screen each source for relevance to at least one AIMRA component: AI use, mineral resource management, regulatory governance, data infrastructure, performance measurement, or accountability.</w:t>
      </w:r>
    </w:p>
    <w:p>
      <w:r>
        <w:rPr>
          <w:b/>
        </w:rPr>
        <w:t xml:space="preserve">Step 3 — Unit segmentation: </w:t>
      </w:r>
      <w:r>
        <w:t>Segment the source into coding units. For literature and policy sources, use paragraphs or tables. For legal material, use sections, clauses, or rules. For numerical evidence, use the smallest traceable metric record.</w:t>
      </w:r>
    </w:p>
    <w:p>
      <w:r>
        <w:rPr>
          <w:b/>
        </w:rPr>
        <w:t xml:space="preserve">Step 4 — Code assignment: </w:t>
      </w:r>
      <w:r>
        <w:t>Assign AIMRA layer codes, index codes, jurisdiction code, evidence type, data confidence tier, and uncertainty flag. Multiple codes are allowed when a passage supports more than one layer or index.</w:t>
      </w:r>
    </w:p>
    <w:p>
      <w:r>
        <w:rPr>
          <w:b/>
        </w:rPr>
        <w:t xml:space="preserve">Step 5 — Evidence extraction: </w:t>
      </w:r>
      <w:r>
        <w:t>Extract short paraphrased evidence notes rather than long quotations. Record the page/section/table number and preserve the raw numerical value, unit, and calculation step where applicable.</w:t>
      </w:r>
    </w:p>
    <w:p>
      <w:r>
        <w:rPr>
          <w:b/>
        </w:rPr>
        <w:t xml:space="preserve">Step 6 — Calculation log: </w:t>
      </w:r>
      <w:r>
        <w:t>For quantitative records, document raw value, transformation, normalised value, weight, contribution to G, and sensitivity configuration. Calculations should be reproducible in spreadsheet and script form.</w:t>
      </w:r>
    </w:p>
    <w:p>
      <w:r>
        <w:rPr>
          <w:b/>
        </w:rPr>
        <w:t xml:space="preserve">Step 7 — Reviewer adjudication: </w:t>
      </w:r>
      <w:r>
        <w:t>A second annotator reviews a minimum of 20% of coded records and all high-impact records used to populate Tables 3–8 of the manuscript. Disagreements are resolved through adjudication and logged.</w:t>
      </w:r>
    </w:p>
    <w:p>
      <w:r>
        <w:rPr>
          <w:b/>
        </w:rPr>
        <w:t xml:space="preserve">Step 8 — Release preparation: </w:t>
      </w:r>
      <w:r>
        <w:t>Separate the release package into public data, derived/processed data, synthetic examples, and restricted-data placeholders. No confidential institutional records should be released without written permission.</w:t>
      </w:r>
    </w:p>
    <w:p>
      <w:pPr>
        <w:pStyle w:val="Heading1"/>
      </w:pPr>
      <w:r>
        <w:t>5. Minimum Annotation Fields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D9EAF7"/>
          </w:tcPr>
          <w:p>
            <w:r>
              <w:rPr>
                <w:b/>
                <w:sz w:val="17"/>
              </w:rPr>
              <w:t>Field</w:t>
            </w:r>
          </w:p>
        </w:tc>
        <w:tc>
          <w:tcPr>
            <w:tcW w:type="dxa" w:w="3456"/>
            <w:vAlign w:val="top"/>
            <w:shd w:fill="D9EAF7"/>
          </w:tcPr>
          <w:p>
            <w:r>
              <w:rPr>
                <w:b/>
                <w:sz w:val="17"/>
              </w:rPr>
              <w:t>Required content</w:t>
            </w:r>
          </w:p>
        </w:tc>
        <w:tc>
          <w:tcPr>
            <w:tcW w:type="dxa" w:w="3456"/>
            <w:vAlign w:val="top"/>
            <w:shd w:fill="D9EAF7"/>
          </w:tcPr>
          <w:p>
            <w:r>
              <w:rPr>
                <w:b/>
                <w:sz w:val="17"/>
              </w:rPr>
              <w:t>Example</w:t>
            </w:r>
          </w:p>
        </w:tc>
      </w:tr>
      <w:tr>
        <w:tc>
          <w:tcPr>
            <w:tcW w:type="dxa" w:w="3456"/>
            <w:vAlign w:val="top"/>
          </w:tcPr>
          <w:p>
            <w:r>
              <w:rPr>
                <w:sz w:val="17"/>
              </w:rPr>
              <w:t>Record_ID</w:t>
            </w:r>
          </w:p>
        </w:tc>
        <w:tc>
          <w:tcPr>
            <w:tcW w:type="dxa" w:w="3456"/>
            <w:vAlign w:val="top"/>
          </w:tcPr>
          <w:p>
            <w:r>
              <w:rPr>
                <w:sz w:val="17"/>
              </w:rPr>
              <w:t>Unique identifier for each annotation record</w:t>
            </w:r>
          </w:p>
        </w:tc>
        <w:tc>
          <w:tcPr>
            <w:tcW w:type="dxa" w:w="3456"/>
            <w:vAlign w:val="top"/>
          </w:tcPr>
          <w:p>
            <w:r>
              <w:rPr>
                <w:sz w:val="17"/>
              </w:rPr>
              <w:t>AIMRA_AGB_RLI_001</w:t>
            </w:r>
          </w:p>
        </w:tc>
      </w:tr>
      <w:tr>
        <w:tc>
          <w:tcPr>
            <w:tcW w:type="dxa" w:w="3456"/>
            <w:vAlign w:val="top"/>
          </w:tcPr>
          <w:p>
            <w:r>
              <w:rPr>
                <w:sz w:val="17"/>
              </w:rPr>
              <w:t>Source_ID</w:t>
            </w:r>
          </w:p>
        </w:tc>
        <w:tc>
          <w:tcPr>
            <w:tcW w:type="dxa" w:w="3456"/>
            <w:vAlign w:val="top"/>
          </w:tcPr>
          <w:p>
            <w:r>
              <w:rPr>
                <w:sz w:val="17"/>
              </w:rPr>
              <w:t>Unique identifier linking record to source register</w:t>
            </w:r>
          </w:p>
        </w:tc>
        <w:tc>
          <w:tcPr>
            <w:tcW w:type="dxa" w:w="3456"/>
            <w:vAlign w:val="top"/>
          </w:tcPr>
          <w:p>
            <w:r>
              <w:rPr>
                <w:sz w:val="17"/>
              </w:rPr>
              <w:t>NEITI_2022_SOLID_MINERALS</w:t>
            </w:r>
          </w:p>
        </w:tc>
      </w:tr>
      <w:tr>
        <w:tc>
          <w:tcPr>
            <w:tcW w:type="dxa" w:w="3456"/>
            <w:vAlign w:val="top"/>
          </w:tcPr>
          <w:p>
            <w:r>
              <w:rPr>
                <w:sz w:val="17"/>
              </w:rPr>
              <w:t>Jurisdiction</w:t>
            </w:r>
          </w:p>
        </w:tc>
        <w:tc>
          <w:tcPr>
            <w:tcW w:type="dxa" w:w="3456"/>
            <w:vAlign w:val="top"/>
          </w:tcPr>
          <w:p>
            <w:r>
              <w:rPr>
                <w:sz w:val="17"/>
              </w:rPr>
              <w:t>Country, province/state, or comparator system</w:t>
            </w:r>
          </w:p>
        </w:tc>
        <w:tc>
          <w:tcPr>
            <w:tcW w:type="dxa" w:w="3456"/>
            <w:vAlign w:val="top"/>
          </w:tcPr>
          <w:p>
            <w:r>
              <w:rPr>
                <w:sz w:val="17"/>
              </w:rPr>
              <w:t>Nigeria / Ondo State / Agbabu</w:t>
            </w:r>
          </w:p>
        </w:tc>
      </w:tr>
      <w:tr>
        <w:tc>
          <w:tcPr>
            <w:tcW w:type="dxa" w:w="3456"/>
            <w:vAlign w:val="top"/>
          </w:tcPr>
          <w:p>
            <w:r>
              <w:rPr>
                <w:sz w:val="17"/>
              </w:rPr>
              <w:t>Evidence_Type</w:t>
            </w:r>
          </w:p>
        </w:tc>
        <w:tc>
          <w:tcPr>
            <w:tcW w:type="dxa" w:w="3456"/>
            <w:vAlign w:val="top"/>
          </w:tcPr>
          <w:p>
            <w:r>
              <w:rPr>
                <w:sz w:val="17"/>
              </w:rPr>
              <w:t>Literature, statutory, administrative, numerical, expert estimate, benchmark, or comparator</w:t>
            </w:r>
          </w:p>
        </w:tc>
        <w:tc>
          <w:tcPr>
            <w:tcW w:type="dxa" w:w="3456"/>
            <w:vAlign w:val="top"/>
          </w:tcPr>
          <w:p>
            <w:r>
              <w:rPr>
                <w:sz w:val="17"/>
              </w:rPr>
              <w:t>Numerical estimate</w:t>
            </w:r>
          </w:p>
        </w:tc>
      </w:tr>
      <w:tr>
        <w:tc>
          <w:tcPr>
            <w:tcW w:type="dxa" w:w="3456"/>
            <w:vAlign w:val="top"/>
          </w:tcPr>
          <w:p>
            <w:r>
              <w:rPr>
                <w:sz w:val="17"/>
              </w:rPr>
              <w:t>AIMRA_Layer_Code</w:t>
            </w:r>
          </w:p>
        </w:tc>
        <w:tc>
          <w:tcPr>
            <w:tcW w:type="dxa" w:w="3456"/>
            <w:vAlign w:val="top"/>
          </w:tcPr>
          <w:p>
            <w:r>
              <w:rPr>
                <w:sz w:val="17"/>
              </w:rPr>
              <w:t>L1, L2, L3, L4, or multiple codes</w:t>
            </w:r>
          </w:p>
        </w:tc>
        <w:tc>
          <w:tcPr>
            <w:tcW w:type="dxa" w:w="3456"/>
            <w:vAlign w:val="top"/>
          </w:tcPr>
          <w:p>
            <w:r>
              <w:rPr>
                <w:sz w:val="17"/>
              </w:rPr>
              <w:t>L1; L2</w:t>
            </w:r>
          </w:p>
        </w:tc>
      </w:tr>
      <w:tr>
        <w:tc>
          <w:tcPr>
            <w:tcW w:type="dxa" w:w="3456"/>
            <w:vAlign w:val="top"/>
          </w:tcPr>
          <w:p>
            <w:r>
              <w:rPr>
                <w:sz w:val="17"/>
              </w:rPr>
              <w:t>Index_Code</w:t>
            </w:r>
          </w:p>
        </w:tc>
        <w:tc>
          <w:tcPr>
            <w:tcW w:type="dxa" w:w="3456"/>
            <w:vAlign w:val="top"/>
          </w:tcPr>
          <w:p>
            <w:r>
              <w:rPr>
                <w:sz w:val="17"/>
              </w:rPr>
              <w:t>RLI, CDR, RLR, RCS, AAI, G, or Not applicable</w:t>
            </w:r>
          </w:p>
        </w:tc>
        <w:tc>
          <w:tcPr>
            <w:tcW w:type="dxa" w:w="3456"/>
            <w:vAlign w:val="top"/>
          </w:tcPr>
          <w:p>
            <w:r>
              <w:rPr>
                <w:sz w:val="17"/>
              </w:rPr>
              <w:t>RLR</w:t>
            </w:r>
          </w:p>
        </w:tc>
      </w:tr>
      <w:tr>
        <w:tc>
          <w:tcPr>
            <w:tcW w:type="dxa" w:w="3456"/>
            <w:vAlign w:val="top"/>
          </w:tcPr>
          <w:p>
            <w:r>
              <w:rPr>
                <w:sz w:val="17"/>
              </w:rPr>
              <w:t>Raw_Value</w:t>
            </w:r>
          </w:p>
        </w:tc>
        <w:tc>
          <w:tcPr>
            <w:tcW w:type="dxa" w:w="3456"/>
            <w:vAlign w:val="top"/>
          </w:tcPr>
          <w:p>
            <w:r>
              <w:rPr>
                <w:sz w:val="17"/>
              </w:rPr>
              <w:t>Untransformed value and unit</w:t>
            </w:r>
          </w:p>
        </w:tc>
        <w:tc>
          <w:tcPr>
            <w:tcW w:type="dxa" w:w="3456"/>
            <w:vAlign w:val="top"/>
          </w:tcPr>
          <w:p>
            <w:r>
              <w:rPr>
                <w:sz w:val="17"/>
              </w:rPr>
              <w:t>0.47 revenue leakage ratio</w:t>
            </w:r>
          </w:p>
        </w:tc>
      </w:tr>
      <w:tr>
        <w:tc>
          <w:tcPr>
            <w:tcW w:type="dxa" w:w="3456"/>
            <w:vAlign w:val="top"/>
          </w:tcPr>
          <w:p>
            <w:r>
              <w:rPr>
                <w:sz w:val="17"/>
              </w:rPr>
              <w:t>Normalised_Value</w:t>
            </w:r>
          </w:p>
        </w:tc>
        <w:tc>
          <w:tcPr>
            <w:tcW w:type="dxa" w:w="3456"/>
            <w:vAlign w:val="top"/>
          </w:tcPr>
          <w:p>
            <w:r>
              <w:rPr>
                <w:sz w:val="17"/>
              </w:rPr>
              <w:t>Value after transformation to [0,1] where applicable</w:t>
            </w:r>
          </w:p>
        </w:tc>
        <w:tc>
          <w:tcPr>
            <w:tcW w:type="dxa" w:w="3456"/>
            <w:vAlign w:val="top"/>
          </w:tcPr>
          <w:p>
            <w:r>
              <w:rPr>
                <w:sz w:val="17"/>
              </w:rPr>
              <w:t>0.53</w:t>
            </w:r>
          </w:p>
        </w:tc>
      </w:tr>
      <w:tr>
        <w:tc>
          <w:tcPr>
            <w:tcW w:type="dxa" w:w="3456"/>
            <w:vAlign w:val="top"/>
          </w:tcPr>
          <w:p>
            <w:r>
              <w:rPr>
                <w:sz w:val="17"/>
              </w:rPr>
              <w:t>Uncertainty_Range</w:t>
            </w:r>
          </w:p>
        </w:tc>
        <w:tc>
          <w:tcPr>
            <w:tcW w:type="dxa" w:w="3456"/>
            <w:vAlign w:val="top"/>
          </w:tcPr>
          <w:p>
            <w:r>
              <w:rPr>
                <w:sz w:val="17"/>
              </w:rPr>
              <w:t>Range, confidence interval, or qualitative uncertainty statement</w:t>
            </w:r>
          </w:p>
        </w:tc>
        <w:tc>
          <w:tcPr>
            <w:tcW w:type="dxa" w:w="3456"/>
            <w:vAlign w:val="top"/>
          </w:tcPr>
          <w:p>
            <w:r>
              <w:rPr>
                <w:sz w:val="17"/>
              </w:rPr>
              <w:t>0.41–0.53</w:t>
            </w:r>
          </w:p>
        </w:tc>
      </w:tr>
      <w:tr>
        <w:tc>
          <w:tcPr>
            <w:tcW w:type="dxa" w:w="3456"/>
            <w:vAlign w:val="top"/>
          </w:tcPr>
          <w:p>
            <w:r>
              <w:rPr>
                <w:sz w:val="17"/>
              </w:rPr>
              <w:t>Data_Confidence_Tier</w:t>
            </w:r>
          </w:p>
        </w:tc>
        <w:tc>
          <w:tcPr>
            <w:tcW w:type="dxa" w:w="3456"/>
            <w:vAlign w:val="top"/>
          </w:tcPr>
          <w:p>
            <w:r>
              <w:rPr>
                <w:sz w:val="17"/>
              </w:rPr>
              <w:t>Tier 1 measured; Tier 2 structured estimate; Tier 3 indicative; Tier 4 synthetic/example</w:t>
            </w:r>
          </w:p>
        </w:tc>
        <w:tc>
          <w:tcPr>
            <w:tcW w:type="dxa" w:w="3456"/>
            <w:vAlign w:val="top"/>
          </w:tcPr>
          <w:p>
            <w:r>
              <w:rPr>
                <w:sz w:val="17"/>
              </w:rPr>
              <w:t>Tier 2</w:t>
            </w:r>
          </w:p>
        </w:tc>
      </w:tr>
      <w:tr>
        <w:tc>
          <w:tcPr>
            <w:tcW w:type="dxa" w:w="3456"/>
            <w:vAlign w:val="top"/>
          </w:tcPr>
          <w:p>
            <w:r>
              <w:rPr>
                <w:sz w:val="17"/>
              </w:rPr>
              <w:t>Coding_Rationale</w:t>
            </w:r>
          </w:p>
        </w:tc>
        <w:tc>
          <w:tcPr>
            <w:tcW w:type="dxa" w:w="3456"/>
            <w:vAlign w:val="top"/>
          </w:tcPr>
          <w:p>
            <w:r>
              <w:rPr>
                <w:sz w:val="17"/>
              </w:rPr>
              <w:t>Brief explanation linking evidence to code</w:t>
            </w:r>
          </w:p>
        </w:tc>
        <w:tc>
          <w:tcPr>
            <w:tcW w:type="dxa" w:w="3456"/>
            <w:vAlign w:val="top"/>
          </w:tcPr>
          <w:p>
            <w:r>
              <w:rPr>
                <w:sz w:val="17"/>
              </w:rPr>
              <w:t>NEITI discrepancy data and AfDB trajectory indicate significant undeclared revenue risk.</w:t>
            </w:r>
          </w:p>
        </w:tc>
      </w:tr>
      <w:tr>
        <w:tc>
          <w:tcPr>
            <w:tcW w:type="dxa" w:w="3456"/>
            <w:vAlign w:val="top"/>
          </w:tcPr>
          <w:p>
            <w:r>
              <w:rPr>
                <w:sz w:val="17"/>
              </w:rPr>
              <w:t>Access_Category</w:t>
            </w:r>
          </w:p>
        </w:tc>
        <w:tc>
          <w:tcPr>
            <w:tcW w:type="dxa" w:w="3456"/>
            <w:vAlign w:val="top"/>
          </w:tcPr>
          <w:p>
            <w:r>
              <w:rPr>
                <w:sz w:val="17"/>
              </w:rPr>
              <w:t>Public, restricted, derived, synthetic, or not redistributable</w:t>
            </w:r>
          </w:p>
        </w:tc>
        <w:tc>
          <w:tcPr>
            <w:tcW w:type="dxa" w:w="3456"/>
            <w:vAlign w:val="top"/>
          </w:tcPr>
          <w:p>
            <w:r>
              <w:rPr>
                <w:sz w:val="17"/>
              </w:rPr>
              <w:t>Public-derived</w:t>
            </w:r>
          </w:p>
        </w:tc>
      </w:tr>
      <w:tr>
        <w:tc>
          <w:tcPr>
            <w:tcW w:type="dxa" w:w="3456"/>
            <w:vAlign w:val="top"/>
          </w:tcPr>
          <w:p>
            <w:r>
              <w:rPr>
                <w:sz w:val="17"/>
              </w:rPr>
              <w:t>Reviewer_Status</w:t>
            </w:r>
          </w:p>
        </w:tc>
        <w:tc>
          <w:tcPr>
            <w:tcW w:type="dxa" w:w="3456"/>
            <w:vAlign w:val="top"/>
          </w:tcPr>
          <w:p>
            <w:r>
              <w:rPr>
                <w:sz w:val="17"/>
              </w:rPr>
              <w:t>Pending, accepted, revised, rejected, or adjudicated</w:t>
            </w:r>
          </w:p>
        </w:tc>
        <w:tc>
          <w:tcPr>
            <w:tcW w:type="dxa" w:w="3456"/>
            <w:vAlign w:val="top"/>
          </w:tcPr>
          <w:p>
            <w:r>
              <w:rPr>
                <w:sz w:val="17"/>
              </w:rPr>
              <w:t>Adjudicated</w:t>
            </w:r>
          </w:p>
        </w:tc>
      </w:tr>
    </w:tbl>
    <w:p>
      <w:pPr>
        <w:pStyle w:val="Heading1"/>
      </w:pPr>
      <w:r>
        <w:t>6. Quality Assurance and Inter-Annotator Reliability</w:t>
      </w:r>
    </w:p>
    <w:p>
      <w:r>
        <w:t>Initial calibration should use a pilot batch of at least 30 records spanning all four AIMRA layers and all five governance indices. Annotators discuss code-boundary issues before the main coding round begins.</w:t>
      </w:r>
    </w:p>
    <w:p>
      <w:r>
        <w:t>For categorical codes, report Cohen’s kappa where two annotators are used and Krippendorff’s alpha where more than two annotators or missing ratings occur. A minimum acceptable threshold of 0.70 is recommended for layer/index codes; records below this threshold should be adjudicated before analysis.</w:t>
      </w:r>
    </w:p>
    <w:p>
      <w:r>
        <w:t>For numerical records, verify every transformed value using independent recalculation. At least one reviewer should trace each headline metric used in the manuscript back to the source register, raw value, normalisation rule, and sensitivity-analysis worksheet.</w:t>
      </w:r>
    </w:p>
    <w:p>
      <w:r>
        <w:t>All changes to coding decisions should be versioned. The audit trail should record date, annotator, changed field, original value, revised value, and reason for revision.</w:t>
      </w:r>
    </w:p>
    <w:p>
      <w:pPr>
        <w:pStyle w:val="Heading1"/>
      </w:pPr>
      <w:r>
        <w:t>7. Data Access Statement</w:t>
      </w:r>
    </w:p>
    <w:p>
      <w:r>
        <w:t>The AIMRA manuscript uses a mixed data basis composed of public documents, derived numerical estimates, comparator benchmarks, and Stage 2 placeholders for restricted institutional records. The public release package should contain all information necessary to reproduce the Stage 1 calculations without disclosing confidential government case files.</w:t>
      </w:r>
    </w:p>
    <w:p>
      <w:r>
        <w:t>Publicly accessible materials include bibliographic metadata, screening decisions, coded literature/policy records, source-register entries, derived metric tables, formulas, normalisation rules, sensitivity configurations, and reproducible scripts or spreadsheets. Restricted institutional data, such as individual enforcement case logs, licensing files, inspection registers, and internal audit records, cannot be redistributed unless the relevant regulator grants written permission.</w:t>
      </w:r>
    </w:p>
    <w:p>
      <w:r>
        <w:t>Where restricted data are required for Stage 2, the release package should provide a data-request template, variable dictionary, synthetic demonstration file, and code capable of running on the synthetic data. This allows reviewers to inspect the workflow while preserving legal and ethical constraints around administrative records.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D9EAF7"/>
          </w:tcPr>
          <w:p>
            <w:r>
              <w:rPr>
                <w:b/>
                <w:sz w:val="17"/>
              </w:rPr>
              <w:t>Dataset / file</w:t>
            </w:r>
          </w:p>
        </w:tc>
        <w:tc>
          <w:tcPr>
            <w:tcW w:type="dxa" w:w="2074"/>
            <w:vAlign w:val="top"/>
            <w:shd w:fill="D9EAF7"/>
          </w:tcPr>
          <w:p>
            <w:r>
              <w:rPr>
                <w:b/>
                <w:sz w:val="17"/>
              </w:rPr>
              <w:t>Recommended filename</w:t>
            </w:r>
          </w:p>
        </w:tc>
        <w:tc>
          <w:tcPr>
            <w:tcW w:type="dxa" w:w="2074"/>
            <w:vAlign w:val="top"/>
            <w:shd w:fill="D9EAF7"/>
          </w:tcPr>
          <w:p>
            <w:r>
              <w:rPr>
                <w:b/>
                <w:sz w:val="17"/>
              </w:rPr>
              <w:t>Access level</w:t>
            </w:r>
          </w:p>
        </w:tc>
        <w:tc>
          <w:tcPr>
            <w:tcW w:type="dxa" w:w="2074"/>
            <w:vAlign w:val="top"/>
            <w:shd w:fill="D9EAF7"/>
          </w:tcPr>
          <w:p>
            <w:r>
              <w:rPr>
                <w:b/>
                <w:sz w:val="17"/>
              </w:rPr>
              <w:t>Contents</w:t>
            </w:r>
          </w:p>
        </w:tc>
        <w:tc>
          <w:tcPr>
            <w:tcW w:type="dxa" w:w="2074"/>
            <w:vAlign w:val="top"/>
            <w:shd w:fill="D9EAF7"/>
          </w:tcPr>
          <w:p>
            <w:r>
              <w:rPr>
                <w:b/>
                <w:sz w:val="17"/>
              </w:rPr>
              <w:t>Release recommendation</w:t>
            </w:r>
          </w:p>
        </w:tc>
      </w:tr>
      <w:tr>
        <w:tc>
          <w:tcPr>
            <w:tcW w:type="dxa" w:w="2074"/>
            <w:vAlign w:val="top"/>
          </w:tcPr>
          <w:p>
            <w:r>
              <w:rPr>
                <w:sz w:val="17"/>
              </w:rPr>
              <w:t>Source register</w:t>
            </w:r>
          </w:p>
        </w:tc>
        <w:tc>
          <w:tcPr>
            <w:tcW w:type="dxa" w:w="2074"/>
            <w:vAlign w:val="top"/>
          </w:tcPr>
          <w:p>
            <w:r>
              <w:rPr>
                <w:sz w:val="17"/>
              </w:rPr>
              <w:t>source_register.csv</w:t>
            </w:r>
          </w:p>
        </w:tc>
        <w:tc>
          <w:tcPr>
            <w:tcW w:type="dxa" w:w="2074"/>
            <w:vAlign w:val="top"/>
          </w:tcPr>
          <w:p>
            <w:r>
              <w:rPr>
                <w:sz w:val="17"/>
              </w:rPr>
              <w:t>Public</w:t>
            </w:r>
          </w:p>
        </w:tc>
        <w:tc>
          <w:tcPr>
            <w:tcW w:type="dxa" w:w="2074"/>
            <w:vAlign w:val="top"/>
          </w:tcPr>
          <w:p>
            <w:r>
              <w:rPr>
                <w:sz w:val="17"/>
              </w:rPr>
              <w:t>Bibliographic and institutional metadata for all sources used in annotation</w:t>
            </w:r>
          </w:p>
        </w:tc>
        <w:tc>
          <w:tcPr>
            <w:tcW w:type="dxa" w:w="2074"/>
            <w:vAlign w:val="top"/>
          </w:tcPr>
          <w:p>
            <w:r>
              <w:rPr>
                <w:sz w:val="17"/>
              </w:rPr>
              <w:t>Release with DOI/URL and access-date fields.</w:t>
            </w:r>
          </w:p>
        </w:tc>
      </w:tr>
      <w:tr>
        <w:tc>
          <w:tcPr>
            <w:tcW w:type="dxa" w:w="2074"/>
            <w:vAlign w:val="top"/>
          </w:tcPr>
          <w:p>
            <w:r>
              <w:rPr>
                <w:sz w:val="17"/>
              </w:rPr>
              <w:t>Screening and exclusion log</w:t>
            </w:r>
          </w:p>
        </w:tc>
        <w:tc>
          <w:tcPr>
            <w:tcW w:type="dxa" w:w="2074"/>
            <w:vAlign w:val="top"/>
          </w:tcPr>
          <w:p>
            <w:r>
              <w:rPr>
                <w:sz w:val="17"/>
              </w:rPr>
              <w:t>screening_log.csv</w:t>
            </w:r>
          </w:p>
        </w:tc>
        <w:tc>
          <w:tcPr>
            <w:tcW w:type="dxa" w:w="2074"/>
            <w:vAlign w:val="top"/>
          </w:tcPr>
          <w:p>
            <w:r>
              <w:rPr>
                <w:sz w:val="17"/>
              </w:rPr>
              <w:t>Public</w:t>
            </w:r>
          </w:p>
        </w:tc>
        <w:tc>
          <w:tcPr>
            <w:tcW w:type="dxa" w:w="2074"/>
            <w:vAlign w:val="top"/>
          </w:tcPr>
          <w:p>
            <w:r>
              <w:rPr>
                <w:sz w:val="17"/>
              </w:rPr>
              <w:t>Search result status, inclusion/exclusion decision, exclusion reason, and reviewer initials</w:t>
            </w:r>
          </w:p>
        </w:tc>
        <w:tc>
          <w:tcPr>
            <w:tcW w:type="dxa" w:w="2074"/>
            <w:vAlign w:val="top"/>
          </w:tcPr>
          <w:p>
            <w:r>
              <w:rPr>
                <w:sz w:val="17"/>
              </w:rPr>
              <w:t>Release to substantiate the tri-domain gap claim.</w:t>
            </w:r>
          </w:p>
        </w:tc>
      </w:tr>
      <w:tr>
        <w:tc>
          <w:tcPr>
            <w:tcW w:type="dxa" w:w="2074"/>
            <w:vAlign w:val="top"/>
          </w:tcPr>
          <w:p>
            <w:r>
              <w:rPr>
                <w:sz w:val="17"/>
              </w:rPr>
              <w:t>Annotation codebook</w:t>
            </w:r>
          </w:p>
        </w:tc>
        <w:tc>
          <w:tcPr>
            <w:tcW w:type="dxa" w:w="2074"/>
            <w:vAlign w:val="top"/>
          </w:tcPr>
          <w:p>
            <w:r>
              <w:rPr>
                <w:sz w:val="17"/>
              </w:rPr>
              <w:t>aimra_codebook.xlsx</w:t>
            </w:r>
          </w:p>
        </w:tc>
        <w:tc>
          <w:tcPr>
            <w:tcW w:type="dxa" w:w="2074"/>
            <w:vAlign w:val="top"/>
          </w:tcPr>
          <w:p>
            <w:r>
              <w:rPr>
                <w:sz w:val="17"/>
              </w:rPr>
              <w:t>Public</w:t>
            </w:r>
          </w:p>
        </w:tc>
        <w:tc>
          <w:tcPr>
            <w:tcW w:type="dxa" w:w="2074"/>
            <w:vAlign w:val="top"/>
          </w:tcPr>
          <w:p>
            <w:r>
              <w:rPr>
                <w:sz w:val="17"/>
              </w:rPr>
              <w:t>Layer definitions, index definitions, source-quality tiers, examples, and decision rules</w:t>
            </w:r>
          </w:p>
        </w:tc>
        <w:tc>
          <w:tcPr>
            <w:tcW w:type="dxa" w:w="2074"/>
            <w:vAlign w:val="top"/>
          </w:tcPr>
          <w:p>
            <w:r>
              <w:rPr>
                <w:sz w:val="17"/>
              </w:rPr>
              <w:t>Release as supplementary file and GitHub repository asset.</w:t>
            </w:r>
          </w:p>
        </w:tc>
      </w:tr>
      <w:tr>
        <w:tc>
          <w:tcPr>
            <w:tcW w:type="dxa" w:w="2074"/>
            <w:vAlign w:val="top"/>
          </w:tcPr>
          <w:p>
            <w:r>
              <w:rPr>
                <w:sz w:val="17"/>
              </w:rPr>
              <w:t>Coded evidence table</w:t>
            </w:r>
          </w:p>
        </w:tc>
        <w:tc>
          <w:tcPr>
            <w:tcW w:type="dxa" w:w="2074"/>
            <w:vAlign w:val="top"/>
          </w:tcPr>
          <w:p>
            <w:r>
              <w:rPr>
                <w:sz w:val="17"/>
              </w:rPr>
              <w:t>coded_evidence.csv</w:t>
            </w:r>
          </w:p>
        </w:tc>
        <w:tc>
          <w:tcPr>
            <w:tcW w:type="dxa" w:w="2074"/>
            <w:vAlign w:val="top"/>
          </w:tcPr>
          <w:p>
            <w:r>
              <w:rPr>
                <w:sz w:val="17"/>
              </w:rPr>
              <w:t>Public-derived</w:t>
            </w:r>
          </w:p>
        </w:tc>
        <w:tc>
          <w:tcPr>
            <w:tcW w:type="dxa" w:w="2074"/>
            <w:vAlign w:val="top"/>
          </w:tcPr>
          <w:p>
            <w:r>
              <w:rPr>
                <w:sz w:val="17"/>
              </w:rPr>
              <w:t>Paraphrased evidence notes, codes, page/section pointers, data confidence tier, and access category</w:t>
            </w:r>
          </w:p>
        </w:tc>
        <w:tc>
          <w:tcPr>
            <w:tcW w:type="dxa" w:w="2074"/>
            <w:vAlign w:val="top"/>
          </w:tcPr>
          <w:p>
            <w:r>
              <w:rPr>
                <w:sz w:val="17"/>
              </w:rPr>
              <w:t>Release without copyrighted long quotations or restricted raw records.</w:t>
            </w:r>
          </w:p>
        </w:tc>
      </w:tr>
      <w:tr>
        <w:tc>
          <w:tcPr>
            <w:tcW w:type="dxa" w:w="2074"/>
            <w:vAlign w:val="top"/>
          </w:tcPr>
          <w:p>
            <w:r>
              <w:rPr>
                <w:sz w:val="17"/>
              </w:rPr>
              <w:t>Governance metrics worksheet</w:t>
            </w:r>
          </w:p>
        </w:tc>
        <w:tc>
          <w:tcPr>
            <w:tcW w:type="dxa" w:w="2074"/>
            <w:vAlign w:val="top"/>
          </w:tcPr>
          <w:p>
            <w:r>
              <w:rPr>
                <w:sz w:val="17"/>
              </w:rPr>
              <w:t>governance_metrics.xlsx</w:t>
            </w:r>
          </w:p>
        </w:tc>
        <w:tc>
          <w:tcPr>
            <w:tcW w:type="dxa" w:w="2074"/>
            <w:vAlign w:val="top"/>
          </w:tcPr>
          <w:p>
            <w:r>
              <w:rPr>
                <w:sz w:val="17"/>
              </w:rPr>
              <w:t>Public-derived</w:t>
            </w:r>
          </w:p>
        </w:tc>
        <w:tc>
          <w:tcPr>
            <w:tcW w:type="dxa" w:w="2074"/>
            <w:vAlign w:val="top"/>
          </w:tcPr>
          <w:p>
            <w:r>
              <w:rPr>
                <w:sz w:val="17"/>
              </w:rPr>
              <w:t>Raw values, uncertainty ranges, normalised values, weights, G calculations, and sensitivity scenarios</w:t>
            </w:r>
          </w:p>
        </w:tc>
        <w:tc>
          <w:tcPr>
            <w:tcW w:type="dxa" w:w="2074"/>
            <w:vAlign w:val="top"/>
          </w:tcPr>
          <w:p>
            <w:r>
              <w:rPr>
                <w:sz w:val="17"/>
              </w:rPr>
              <w:t>Release; clearly label estimated values and assumptions.</w:t>
            </w:r>
          </w:p>
        </w:tc>
      </w:tr>
      <w:tr>
        <w:tc>
          <w:tcPr>
            <w:tcW w:type="dxa" w:w="2074"/>
            <w:vAlign w:val="top"/>
          </w:tcPr>
          <w:p>
            <w:r>
              <w:rPr>
                <w:sz w:val="17"/>
              </w:rPr>
              <w:t>Synthetic Stage 2 pilot dataset</w:t>
            </w:r>
          </w:p>
        </w:tc>
        <w:tc>
          <w:tcPr>
            <w:tcW w:type="dxa" w:w="2074"/>
            <w:vAlign w:val="top"/>
          </w:tcPr>
          <w:p>
            <w:r>
              <w:rPr>
                <w:sz w:val="17"/>
              </w:rPr>
              <w:t>synthetic_pilot_data.csv</w:t>
            </w:r>
          </w:p>
        </w:tc>
        <w:tc>
          <w:tcPr>
            <w:tcW w:type="dxa" w:w="2074"/>
            <w:vAlign w:val="top"/>
          </w:tcPr>
          <w:p>
            <w:r>
              <w:rPr>
                <w:sz w:val="17"/>
              </w:rPr>
              <w:t>Synthetic</w:t>
            </w:r>
          </w:p>
        </w:tc>
        <w:tc>
          <w:tcPr>
            <w:tcW w:type="dxa" w:w="2074"/>
            <w:vAlign w:val="top"/>
          </w:tcPr>
          <w:p>
            <w:r>
              <w:rPr>
                <w:sz w:val="17"/>
              </w:rPr>
              <w:t>Illustrative case-level records for licence-processing time, violations, revenue gaps, decision variance, and audit logs</w:t>
            </w:r>
          </w:p>
        </w:tc>
        <w:tc>
          <w:tcPr>
            <w:tcW w:type="dxa" w:w="2074"/>
            <w:vAlign w:val="top"/>
          </w:tcPr>
          <w:p>
            <w:r>
              <w:rPr>
                <w:sz w:val="17"/>
              </w:rPr>
              <w:t>Release for reproducibility demonstrations when real records cannot be shared.</w:t>
            </w:r>
          </w:p>
        </w:tc>
      </w:tr>
      <w:tr>
        <w:tc>
          <w:tcPr>
            <w:tcW w:type="dxa" w:w="2074"/>
            <w:vAlign w:val="top"/>
          </w:tcPr>
          <w:p>
            <w:r>
              <w:rPr>
                <w:sz w:val="17"/>
              </w:rPr>
              <w:t>Restricted institutional records</w:t>
            </w:r>
          </w:p>
        </w:tc>
        <w:tc>
          <w:tcPr>
            <w:tcW w:type="dxa" w:w="2074"/>
            <w:vAlign w:val="top"/>
          </w:tcPr>
          <w:p>
            <w:r>
              <w:rPr>
                <w:sz w:val="17"/>
              </w:rPr>
              <w:t>restricted_case_logs/</w:t>
            </w:r>
          </w:p>
        </w:tc>
        <w:tc>
          <w:tcPr>
            <w:tcW w:type="dxa" w:w="2074"/>
            <w:vAlign w:val="top"/>
          </w:tcPr>
          <w:p>
            <w:r>
              <w:rPr>
                <w:sz w:val="17"/>
              </w:rPr>
              <w:t>Restricted / not redistributable</w:t>
            </w:r>
          </w:p>
        </w:tc>
        <w:tc>
          <w:tcPr>
            <w:tcW w:type="dxa" w:w="2074"/>
            <w:vAlign w:val="top"/>
          </w:tcPr>
          <w:p>
            <w:r>
              <w:rPr>
                <w:sz w:val="17"/>
              </w:rPr>
              <w:t>Actual licensing records, enforcement logs, inspection outcomes, audit trails, and ethics-review records</w:t>
            </w:r>
          </w:p>
        </w:tc>
        <w:tc>
          <w:tcPr>
            <w:tcW w:type="dxa" w:w="2074"/>
            <w:vAlign w:val="top"/>
          </w:tcPr>
          <w:p>
            <w:r>
              <w:rPr>
                <w:sz w:val="17"/>
              </w:rPr>
              <w:t>Do not release publicly; provide access only under regulator-approved data-sharing agreements.</w:t>
            </w:r>
          </w:p>
        </w:tc>
      </w:tr>
      <w:tr>
        <w:tc>
          <w:tcPr>
            <w:tcW w:type="dxa" w:w="2074"/>
            <w:vAlign w:val="top"/>
          </w:tcPr>
          <w:p>
            <w:r>
              <w:rPr>
                <w:sz w:val="17"/>
              </w:rPr>
              <w:t>Reproducibility scripts</w:t>
            </w:r>
          </w:p>
        </w:tc>
        <w:tc>
          <w:tcPr>
            <w:tcW w:type="dxa" w:w="2074"/>
            <w:vAlign w:val="top"/>
          </w:tcPr>
          <w:p>
            <w:r>
              <w:rPr>
                <w:sz w:val="17"/>
              </w:rPr>
              <w:t>scripts/</w:t>
            </w:r>
          </w:p>
        </w:tc>
        <w:tc>
          <w:tcPr>
            <w:tcW w:type="dxa" w:w="2074"/>
            <w:vAlign w:val="top"/>
          </w:tcPr>
          <w:p>
            <w:r>
              <w:rPr>
                <w:sz w:val="17"/>
              </w:rPr>
              <w:t>Public</w:t>
            </w:r>
          </w:p>
        </w:tc>
        <w:tc>
          <w:tcPr>
            <w:tcW w:type="dxa" w:w="2074"/>
            <w:vAlign w:val="top"/>
          </w:tcPr>
          <w:p>
            <w:r>
              <w:rPr>
                <w:sz w:val="17"/>
              </w:rPr>
              <w:t>Code for normalisation, G calculation, sensitivity analysis, and nonlinear robustness check</w:t>
            </w:r>
          </w:p>
        </w:tc>
        <w:tc>
          <w:tcPr>
            <w:tcW w:type="dxa" w:w="2074"/>
            <w:vAlign w:val="top"/>
          </w:tcPr>
          <w:p>
            <w:r>
              <w:rPr>
                <w:sz w:val="17"/>
              </w:rPr>
              <w:t>Release with README and fixed software environment details.</w:t>
            </w:r>
          </w:p>
        </w:tc>
      </w:tr>
    </w:tbl>
    <w:p>
      <w:pPr>
        <w:pStyle w:val="Heading1"/>
      </w:pPr>
      <w:r>
        <w:t>8. Ethical, Legal and Sovereignty Safeguards</w:t>
      </w:r>
    </w:p>
    <w:p>
      <w:pPr>
        <w:pStyle w:val="ListBullet"/>
      </w:pPr>
      <w:r>
        <w:t>Administrative and regulatory records must remain under the control of the originating jurisdiction unless a formal data-sharing agreement permits transfer.</w:t>
      </w:r>
    </w:p>
    <w:p>
      <w:pPr>
        <w:pStyle w:val="ListBullet"/>
      </w:pPr>
      <w:r>
        <w:t>No personal data about regulatory officers, company staff, community members, complainants, or inspectors should be published in the open release package.</w:t>
      </w:r>
    </w:p>
    <w:p>
      <w:pPr>
        <w:pStyle w:val="ListBullet"/>
      </w:pPr>
      <w:r>
        <w:t>All case-level records used for model development should be pseudonymised before analysis and aggregated before publication.</w:t>
      </w:r>
    </w:p>
    <w:p>
      <w:pPr>
        <w:pStyle w:val="ListBullet"/>
      </w:pPr>
      <w:r>
        <w:t>Statutory encoding records should be validated by legal-domain experts before being treated as operational rules.</w:t>
      </w:r>
    </w:p>
    <w:p>
      <w:pPr>
        <w:pStyle w:val="ListBullet"/>
      </w:pPr>
      <w:r>
        <w:t>Any AI-assisted classification or anomaly flag must be described as decision support only; final enforcement authority remains with the authorised public institution.</w:t>
      </w:r>
    </w:p>
    <w:p>
      <w:pPr>
        <w:pStyle w:val="ListBullet"/>
      </w:pPr>
      <w:r>
        <w:t>For Stage 2 empirical deployment, obtain ethics approval, data-processing agreements, cybersecurity review, and regulator sign-off before accessing restricted records.</w:t>
      </w:r>
    </w:p>
    <w:p>
      <w:pPr>
        <w:pStyle w:val="Heading1"/>
      </w:pPr>
      <w:r>
        <w:t>9. Recommended Repository Structure</w:t>
      </w:r>
    </w:p>
    <w:p>
      <w:r>
        <w:rPr>
          <w:rFonts w:ascii="Courier New" w:hAnsi="Courier New" w:eastAsia="Courier New"/>
          <w:sz w:val="17"/>
        </w:rPr>
        <w:t>AIMRA-reproducibility-package/</w:t>
        <w:br/>
        <w:t xml:space="preserve">  README.md</w:t>
        <w:br/>
        <w:t xml:space="preserve">  LICENSE</w:t>
        <w:br/>
        <w:t xml:space="preserve">  data/</w:t>
        <w:br/>
        <w:t xml:space="preserve">    public/</w:t>
        <w:br/>
        <w:t xml:space="preserve">      source_register.csv</w:t>
        <w:br/>
        <w:t xml:space="preserve">      screening_log.csv</w:t>
        <w:br/>
        <w:t xml:space="preserve">      coded_evidence.csv</w:t>
        <w:br/>
        <w:t xml:space="preserve">      governance_metrics.xlsx</w:t>
        <w:br/>
        <w:t xml:space="preserve">    synthetic/</w:t>
        <w:br/>
        <w:t xml:space="preserve">      synthetic_pilot_data.csv</w:t>
        <w:br/>
        <w:t xml:space="preserve">  docs/</w:t>
        <w:br/>
        <w:t xml:space="preserve">    annotation_protocol_and_data_access.pdf</w:t>
        <w:br/>
        <w:t xml:space="preserve">    aimra_codebook.xlsx</w:t>
        <w:br/>
        <w:t xml:space="preserve">    data_request_template.docx</w:t>
        <w:br/>
        <w:t xml:space="preserve">  scripts/</w:t>
        <w:br/>
        <w:t xml:space="preserve">    calculate_g.py</w:t>
        <w:br/>
        <w:t xml:space="preserve">    sensitivity_analysis.py</w:t>
        <w:br/>
        <w:t xml:space="preserve">    nonlinear_robustness.py</w:t>
        <w:br/>
        <w:t xml:space="preserve">  outputs/</w:t>
        <w:br/>
        <w:t xml:space="preserve">    tables/</w:t>
        <w:br/>
        <w:t xml:space="preserve">    figures/</w:t>
        <w:br/>
        <w:t xml:space="preserve">  restricted_data_notice.md</w:t>
      </w:r>
    </w:p>
    <w:p>
      <w:pPr>
        <w:pStyle w:val="Heading1"/>
      </w:pPr>
      <w:r>
        <w:t>10. Submission-Ready Data Availability Statement</w:t>
      </w:r>
    </w:p>
    <w:p>
      <w:pPr>
        <w:ind w:left="360" w:right="360"/>
      </w:pPr>
      <w:r>
        <w:t>Data availability. The study uses publicly available institutional reports, policy documents, and derived governance-index estimates. The annotation codebook, source register, screening log, coded-evidence table, governance-metric worksheet, and reproducibility scripts will be deposited in a public repository upon acceptance. Where individual licensing, enforcement, inspection, or audit records are required for Stage 2 validation, those data are not publicly redistributable because they are held by government agencies and may contain sensitive administrative information. A synthetic demonstration dataset and data-request template will be provided to enable workflow verification without disclosing restricted records. Access to non-public institutional data will be subject to ethics approval, regulator permission, and formal data-sharing agreements.</w:t>
      </w:r>
    </w:p>
    <w:p>
      <w:pPr>
        <w:pStyle w:val="Heading1"/>
      </w:pPr>
      <w:r>
        <w:t>11. Internal Consistency Checklist Before Submission</w:t>
      </w:r>
    </w:p>
    <w:p>
      <w:pPr>
        <w:pStyle w:val="ListBullet"/>
      </w:pPr>
      <w:r>
        <w:t>Confirm that every metric value in the manuscript appears in the governance_metrics worksheet.</w:t>
      </w:r>
    </w:p>
    <w:p>
      <w:pPr>
        <w:pStyle w:val="ListBullet"/>
      </w:pPr>
      <w:r>
        <w:t>Confirm that every source used in the metrics worksheet appears in the source register.</w:t>
      </w:r>
    </w:p>
    <w:p>
      <w:pPr>
        <w:pStyle w:val="ListBullet"/>
      </w:pPr>
      <w:r>
        <w:t>Confirm that estimated values are labelled as estimated, partly measured, indicative, or synthetic.</w:t>
      </w:r>
    </w:p>
    <w:p>
      <w:pPr>
        <w:pStyle w:val="ListBullet"/>
      </w:pPr>
      <w:r>
        <w:t>Confirm that the public repository excludes restricted government records and personal data.</w:t>
      </w:r>
    </w:p>
    <w:p>
      <w:pPr>
        <w:pStyle w:val="ListBullet"/>
      </w:pPr>
      <w:r>
        <w:t>Confirm that the annotation codebook includes examples for all AIMRA layers and all governance indices.</w:t>
      </w:r>
    </w:p>
    <w:p>
      <w:pPr>
        <w:pStyle w:val="ListBullet"/>
      </w:pPr>
      <w:r>
        <w:t>Confirm that sensitivity and nonlinear robustness scripts reproduce the manuscript values exactly.</w:t>
      </w:r>
    </w:p>
    <w:p>
      <w:pPr>
        <w:pStyle w:val="ListBullet"/>
      </w:pPr>
      <w:r>
        <w:t>Confirm that the data availability statement is consistent with journal policy and repository content.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Supplementary Methods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AIMRA Annotation Protocol and Data Access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