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2"/>
        </w:rPr>
        <w:t>Corrected Supplementary Materials</w:t>
      </w:r>
    </w:p>
    <w:p>
      <w:pPr>
        <w:jc w:val="center"/>
      </w:pPr>
      <w:r>
        <w:rPr>
          <w:i/>
          <w:sz w:val="22"/>
        </w:rPr>
        <w:t>AIML-MRMS corrected support package v1.1</w:t>
      </w:r>
    </w:p>
    <w:p>
      <w:pPr>
        <w:pStyle w:val="Heading1"/>
      </w:pPr>
      <w:r>
        <w:t>S1. Correction Scope</w:t>
      </w:r>
    </w:p>
    <w:p>
      <w:r>
        <w:t>This corrected supplementary material supports the IJSE revision pathway. It removes the former cross-configuration PCI/RPCI benchmark and reports only results that are traceable to the corrected pipeline outputs.</w:t>
      </w:r>
    </w:p>
    <w:p>
      <w:pPr>
        <w:pStyle w:val="Heading1"/>
      </w:pPr>
      <w:r>
        <w:t>S2. Table 5 - SVM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Corrected Value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0.9375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8"/>
              </w:rPr>
              <w:t>Balanced accuracy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0.9545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8"/>
              </w:rPr>
              <w:t>F1-score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0.9091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0.8333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8"/>
              </w:rPr>
              <w:t>ROC-AUC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0.9455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8"/>
              </w:rPr>
              <w:t>Modal 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0.1</w:t>
            </w:r>
          </w:p>
        </w:tc>
      </w:tr>
    </w:tbl>
    <w:p/>
    <w:p>
      <w:r>
        <w:t>The corrected result is 15/16 correctly classified observations, not perfect 1.000 accuracy.</w:t>
      </w:r>
    </w:p>
    <w:p>
      <w:pPr>
        <w:pStyle w:val="Heading1"/>
      </w:pPr>
      <w:r>
        <w:t>S3. Table 6 - Aggregated Criterion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SVM Signal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EV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0.2267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RC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0.5434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EI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0.0215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OF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0.2084</w:t>
            </w:r>
          </w:p>
        </w:tc>
      </w:tr>
    </w:tbl>
    <w:p/>
    <w:p>
      <w:pPr>
        <w:pStyle w:val="Heading1"/>
      </w:pPr>
      <w:r>
        <w:t>S4. Adaptive Weight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</w:tcPr>
          <w:p>
            <w:r>
              <w:rPr>
                <w:b/>
                <w:sz w:val="18"/>
              </w:rPr>
              <w:t>Cycle</w:t>
            </w:r>
          </w:p>
        </w:tc>
        <w:tc>
          <w:tcPr>
            <w:tcW w:type="dxa" w:w="1584"/>
            <w:vAlign w:val="center"/>
          </w:tcPr>
          <w:p>
            <w:r>
              <w:rPr>
                <w:b/>
                <w:sz w:val="18"/>
              </w:rPr>
              <w:t>EV</w:t>
            </w:r>
          </w:p>
        </w:tc>
        <w:tc>
          <w:tcPr>
            <w:tcW w:type="dxa" w:w="1584"/>
            <w:vAlign w:val="center"/>
          </w:tcPr>
          <w:p>
            <w:r>
              <w:rPr>
                <w:b/>
                <w:sz w:val="18"/>
              </w:rPr>
              <w:t>RC</w:t>
            </w:r>
          </w:p>
        </w:tc>
        <w:tc>
          <w:tcPr>
            <w:tcW w:type="dxa" w:w="1584"/>
            <w:vAlign w:val="center"/>
          </w:tcPr>
          <w:p>
            <w:r>
              <w:rPr>
                <w:b/>
                <w:sz w:val="18"/>
              </w:rPr>
              <w:t>EI</w:t>
            </w:r>
          </w:p>
        </w:tc>
        <w:tc>
          <w:tcPr>
            <w:tcW w:type="dxa" w:w="1584"/>
            <w:vAlign w:val="center"/>
          </w:tcPr>
          <w:p>
            <w:r>
              <w:rPr>
                <w:b/>
                <w:sz w:val="18"/>
              </w:rPr>
              <w:t>OF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0.3500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0.3000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0.2000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0.1500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0.2868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0.4085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0.1715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0.1332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0.2457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0.4790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0.1530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0.1223</w:t>
            </w:r>
          </w:p>
        </w:tc>
      </w:tr>
    </w:tbl>
    <w:p/>
    <w:p>
      <w:pPr>
        <w:pStyle w:val="Heading1"/>
      </w:pPr>
      <w:r>
        <w:t>S5. Table 7 - Corrected TOPSIS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</w:tcPr>
          <w:p>
            <w:r>
              <w:rPr>
                <w:b/>
                <w:sz w:val="18"/>
              </w:rPr>
              <w:t>Cycle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Closeness</w:t>
            </w:r>
          </w:p>
        </w:tc>
        <w:tc>
          <w:tcPr>
            <w:tcW w:type="dxa" w:w="792"/>
            <w:vAlign w:val="center"/>
          </w:tcPr>
          <w:p>
            <w:r>
              <w:rPr>
                <w:b/>
                <w:sz w:val="18"/>
              </w:rPr>
              <w:t>Rank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FDI-compliant open-pit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Artisanal scale-up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0.392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Greenfield high regulatory risk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0.284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ESG-certified open-cast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Deep-shaft expansion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0.475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Junior miner greenfield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0.214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FDI-compliant open-pit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Artisanal scale-up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0.416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Greenfield high regulatory risk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0.211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ESG-certified open-cast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Deep-shaft expansion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0.497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Junior miner greenfield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0.154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FDI-compliant open-pit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Artisanal scale-up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NG-C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Greenfield high regulatory risk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0.168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ESG-certified open-cast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Deep-shaft expansion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0.508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8"/>
              </w:rPr>
              <w:t>ZA-C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Junior miner greenfield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0.123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t>Cycle 1 values match the earlier manuscript table, while Cycle 3 values must be replaced with the corrected values above.</w:t>
      </w:r>
    </w:p>
    <w:p>
      <w:pPr>
        <w:pStyle w:val="Heading1"/>
      </w:pPr>
      <w:r>
        <w:t>S6. Baseline PCI/RPCI Diagnostic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80"/>
            <w:vAlign w:val="center"/>
          </w:tcPr>
          <w:p>
            <w:r>
              <w:rPr>
                <w:b/>
                <w:sz w:val="18"/>
              </w:rPr>
              <w:t>ISO3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Gini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PCI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RPCI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BWA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0.403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0.429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COD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1.352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0.662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-0.023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-0.008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NGA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0.196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0.224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0.089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8"/>
              </w:rPr>
              <w:t>ZAF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0.742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0.214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0.121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0.583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8"/>
              </w:rPr>
              <w:t>0.513</w:t>
            </w:r>
          </w:p>
        </w:tc>
      </w:tr>
    </w:tbl>
    <w:p/>
    <w:p>
      <w:r>
        <w:t>The full 16-country baseline diagnostic is provided in results/tables/baseline_pci_rpci.csv. This diagnostic should not be interpreted as cross-configuration benchmarking evidence.</w:t>
      </w:r>
    </w:p>
    <w:p>
      <w:pPr>
        <w:pStyle w:val="Heading1"/>
      </w:pPr>
      <w:r>
        <w:t>S7. Withdrawn Comparative Benchmark</w:t>
      </w:r>
    </w:p>
    <w:p>
      <w:r>
        <w:t>The former numerical Table 8/9 comparison of standalone MCDM, standalone AI, static AI-MCDM, and AIML-MRMS full adaptive configurations has been withdrawn. A qualitative architecture comparison may be used in the manuscript, but without numerical delta-PCI performance-superiority claims.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