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AIML-MRMS Version C</w:t>
        <w:br/>
        <w:t>Computational Evidence and Supervisor Decision Brief</w:t>
      </w:r>
    </w:p>
    <w:p>
      <w:pPr>
        <w:jc w:val="center"/>
      </w:pPr>
      <w:r>
        <w:rPr>
          <w:i/>
        </w:rPr>
        <w:t>Candidate replacement for the disputed Tables 8 and 9 | 17 July 2026</w:t>
      </w:r>
    </w:p>
    <w:p>
      <w:pPr>
        <w:pStyle w:val="Heading1"/>
      </w:pPr>
      <w:r>
        <w:t>Executive conclusion</w:t>
      </w:r>
    </w:p>
    <w:p>
      <w:r>
        <w:t>The former four-configuration performance table should remain withdrawn. The code does not execute four independent decision architectures, does not contain a closed feedback loop, and does not test convergence. Version C now provides a reproducible alternative: a six-dimensional country-governance coherence analysis using official WGI absolute scores, explicit measurement uncertainty, alternative-weight sensitivity, temporal diagnostics, and mining-specific external validation.</w:t>
      </w:r>
    </w:p>
    <w:p>
      <w:r>
        <w:t>This package is computationally ready for author review. It is not yet a publishable manuscript by itself: the methods, table captions, claims, limitations and contribution statement must be rewritten to match the analysis. Acceptance cannot be guaranteed, but the known computational and construct-validity loopholes are now exposed rather than hidden.</w:t>
      </w:r>
    </w:p>
    <w:p>
      <w:pPr>
        <w:pStyle w:val="Heading1"/>
      </w:pPr>
      <w:r>
        <w:t>Direct response to the supervisor's questions</w:t>
      </w:r>
    </w:p>
    <w:p>
      <w:pPr>
        <w:pStyle w:val="Heading2"/>
      </w:pPr>
      <w:r>
        <w:t>Question 1 - Is the table comparing the right things?</w:t>
      </w:r>
    </w:p>
    <w:p>
      <w:r>
        <w:t>Answer: no, not as independent architectures. The historical labels were broader than the executed computation. The implementation represents alternative weight states applied to essentially the same MCDM/PCI calculation. The final state is the result of two predefined convex updates; there is no convergence check and no country-level TOPSIS, allocation or PCI result fed back into the weights.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944"/>
            <w:vAlign w:val="center"/>
            <w:shd w:fill="1F4E78"/>
          </w:tcPr>
          <w:p>
            <w:r/>
            <w:r>
              <w:rPr>
                <w:b/>
                <w:color w:val="FFFFFF"/>
                <w:sz w:val="17"/>
              </w:rPr>
              <w:t>Historical label</w:t>
            </w:r>
          </w:p>
        </w:tc>
        <w:tc>
          <w:tcPr>
            <w:tcW w:type="dxa" w:w="6048"/>
            <w:vAlign w:val="center"/>
            <w:shd w:fill="1F4E78"/>
          </w:tcPr>
          <w:p>
            <w:r/>
            <w:r>
              <w:rPr>
                <w:b/>
                <w:color w:val="FFFFFF"/>
                <w:sz w:val="17"/>
              </w:rPr>
              <w:t>What is actually executed</w:t>
            </w:r>
          </w:p>
        </w:tc>
        <w:tc>
          <w:tcPr>
            <w:tcW w:type="dxa" w:w="3312"/>
            <w:vAlign w:val="center"/>
            <w:shd w:fill="1F4E78"/>
          </w:tcPr>
          <w:p>
            <w:r/>
            <w:r>
              <w:rPr>
                <w:b/>
                <w:color w:val="FFFFFF"/>
                <w:sz w:val="17"/>
              </w:rPr>
              <w:t>Safe description</w:t>
            </w:r>
          </w:p>
        </w:tc>
      </w:tr>
      <w:tr>
        <w:trPr>
          <w:cantSplit/>
        </w:trPr>
        <w:tc>
          <w:tcPr>
            <w:tcW w:type="dxa" w:w="1944"/>
            <w:vAlign w:val="center"/>
          </w:tcPr>
          <w:p>
            <w:r/>
            <w:r>
              <w:rPr>
                <w:b w:val="0"/>
                <w:sz w:val="17"/>
              </w:rPr>
              <w:t>Standalone MCDM</w:t>
            </w:r>
          </w:p>
        </w:tc>
        <w:tc>
          <w:tcPr>
            <w:tcW w:type="dxa" w:w="6048"/>
            <w:vAlign w:val="center"/>
          </w:tcPr>
          <w:p>
            <w:r/>
            <w:r>
              <w:rPr>
                <w:b w:val="0"/>
                <w:sz w:val="17"/>
              </w:rPr>
              <w:t>Base expert/AHP weight vector applied to the common governance inputs</w:t>
            </w:r>
          </w:p>
        </w:tc>
        <w:tc>
          <w:tcPr>
            <w:tcW w:type="dxa" w:w="3312"/>
            <w:vAlign w:val="center"/>
          </w:tcPr>
          <w:p>
            <w:r/>
            <w:r>
              <w:rPr>
                <w:b w:val="0"/>
                <w:sz w:val="17"/>
              </w:rPr>
              <w:t>Base-weight scenario</w:t>
            </w:r>
          </w:p>
        </w:tc>
      </w:tr>
      <w:tr>
        <w:trPr>
          <w:cantSplit/>
        </w:trPr>
        <w:tc>
          <w:tcPr>
            <w:tcW w:type="dxa" w:w="1944"/>
            <w:vAlign w:val="center"/>
            <w:shd w:fill="EAF2F8"/>
          </w:tcPr>
          <w:p>
            <w:r/>
            <w:r>
              <w:rPr>
                <w:b w:val="0"/>
                <w:sz w:val="17"/>
              </w:rPr>
              <w:t>Standalone AI</w:t>
            </w:r>
          </w:p>
        </w:tc>
        <w:tc>
          <w:tcPr>
            <w:tcW w:type="dxa" w:w="6048"/>
            <w:vAlign w:val="center"/>
            <w:shd w:fill="EAF2F8"/>
          </w:tcPr>
          <w:p>
            <w:r/>
            <w:r>
              <w:rPr>
                <w:b w:val="0"/>
                <w:sz w:val="17"/>
              </w:rPr>
              <w:t>Normalised model-derived coefficient signal used as weights; no independent AI decision pipeline</w:t>
            </w:r>
          </w:p>
        </w:tc>
        <w:tc>
          <w:tcPr>
            <w:tcW w:type="dxa" w:w="3312"/>
            <w:vAlign w:val="center"/>
            <w:shd w:fill="EAF2F8"/>
          </w:tcPr>
          <w:p>
            <w:r/>
            <w:r>
              <w:rPr>
                <w:b w:val="0"/>
                <w:sz w:val="17"/>
              </w:rPr>
              <w:t>AI-derived weighting sensitivity</w:t>
            </w:r>
          </w:p>
        </w:tc>
      </w:tr>
      <w:tr>
        <w:trPr>
          <w:cantSplit/>
        </w:trPr>
        <w:tc>
          <w:tcPr>
            <w:tcW w:type="dxa" w:w="1944"/>
            <w:vAlign w:val="center"/>
          </w:tcPr>
          <w:p>
            <w:r/>
            <w:r>
              <w:rPr>
                <w:b w:val="0"/>
                <w:sz w:val="17"/>
              </w:rPr>
              <w:t>Static AI+MCDM</w:t>
            </w:r>
          </w:p>
        </w:tc>
        <w:tc>
          <w:tcPr>
            <w:tcW w:type="dxa" w:w="6048"/>
            <w:vAlign w:val="center"/>
          </w:tcPr>
          <w:p>
            <w:r/>
            <w:r>
              <w:rPr>
                <w:b w:val="0"/>
                <w:sz w:val="17"/>
              </w:rPr>
              <w:t>One convex update from the base vector toward the fixed signal</w:t>
            </w:r>
          </w:p>
        </w:tc>
        <w:tc>
          <w:tcPr>
            <w:tcW w:type="dxa" w:w="3312"/>
            <w:vAlign w:val="center"/>
          </w:tcPr>
          <w:p>
            <w:r/>
            <w:r>
              <w:rPr>
                <w:b w:val="0"/>
                <w:sz w:val="17"/>
              </w:rPr>
              <w:t>First predefined blended-weight state</w:t>
            </w:r>
          </w:p>
        </w:tc>
      </w:tr>
      <w:tr>
        <w:trPr>
          <w:cantSplit/>
        </w:trPr>
        <w:tc>
          <w:tcPr>
            <w:tcW w:type="dxa" w:w="1944"/>
            <w:vAlign w:val="center"/>
            <w:shd w:fill="EAF2F8"/>
          </w:tcPr>
          <w:p>
            <w:r/>
            <w:r>
              <w:rPr>
                <w:b w:val="0"/>
                <w:sz w:val="17"/>
              </w:rPr>
              <w:t>Full AIML-MRMS</w:t>
            </w:r>
          </w:p>
        </w:tc>
        <w:tc>
          <w:tcPr>
            <w:tcW w:type="dxa" w:w="6048"/>
            <w:vAlign w:val="center"/>
            <w:shd w:fill="EAF2F8"/>
          </w:tcPr>
          <w:p>
            <w:r/>
            <w:r>
              <w:rPr>
                <w:b w:val="0"/>
                <w:sz w:val="17"/>
              </w:rPr>
              <w:t>A second convex update toward the same fixed signal</w:t>
            </w:r>
          </w:p>
        </w:tc>
        <w:tc>
          <w:tcPr>
            <w:tcW w:type="dxa" w:w="3312"/>
            <w:vAlign w:val="center"/>
            <w:shd w:fill="EAF2F8"/>
          </w:tcPr>
          <w:p>
            <w:r/>
            <w:r>
              <w:rPr>
                <w:b w:val="0"/>
                <w:sz w:val="17"/>
              </w:rPr>
              <w:t>Second predefined blended-weight state; not converged and not feedback</w:t>
            </w:r>
          </w:p>
        </w:tc>
      </w:tr>
    </w:tbl>
    <w:p/>
    <w:p>
      <w:r>
        <w:t>Decision: do not restore the old comparison merely by substituting new numbers. Version C separates country governance from project-level EV/RC/EI/OF AHP criteria and replaces the disputed comparison with an uncertainty-aware governance evidence table.</w:t>
      </w:r>
    </w:p>
    <w:p>
      <w:pPr>
        <w:pStyle w:val="Heading2"/>
      </w:pPr>
      <w:r>
        <w:t>Question 2 - Why did the adaptive scenario lose?</w:t>
      </w:r>
    </w:p>
    <w:p>
      <w:r>
        <w:t>The earlier explanation that the CV penalty caused the loss was plausible but initially unproven. The metric is sensitive to both the weighted mean and dispersion: PCI = weighted mean x (1 - weighted CV), while RPCI additionally applies a weighted-Gini coherence penalty. Concentrated weights can therefore raise or lower the final score depending on each country's governance profile. This is metric sensitivity, not evidence that an adaptive architecture succeeds or fails. Because the historical experiment did not implement outcome feedback, the term 'adaptive performance' should not be used for those results.</w:t>
      </w:r>
    </w:p>
    <w:p>
      <w:pPr>
        <w:pStyle w:val="Heading1"/>
      </w:pPr>
      <w:r>
        <w:t>Why Version C is methodologically different</w:t>
      </w:r>
    </w:p>
    <w:p>
      <w:pPr>
        <w:pStyle w:val="ListBullet"/>
      </w:pPr>
      <w:r>
        <w:t>Uses all six official WGI dimensions: Voice and Accountability, Political Stability, Government Effectiveness, Regulatory Quality, Rule of Law, and Control of Corruption.</w:t>
      </w:r>
    </w:p>
    <w:p>
      <w:pPr>
        <w:pStyle w:val="ListBullet"/>
      </w:pPr>
      <w:r>
        <w:t>Uses official 0-100 absolute scores divided by 100; it does not re-min-max countries within this 16-country sample.</w:t>
      </w:r>
    </w:p>
    <w:p>
      <w:pPr>
        <w:pStyle w:val="ListBullet"/>
      </w:pPr>
      <w:r>
        <w:t>Keeps country governance weights separate from project-level economic viability, resource capacity, environmental/ESG, and operational feasibility weights.</w:t>
      </w:r>
    </w:p>
    <w:p>
      <w:pPr>
        <w:pStyle w:val="ListBullet"/>
      </w:pPr>
      <w:r>
        <w:t>Uses uniform six-dimension weights as the transparent primary specification, with PCA, entropy and mining-benchmark correlation weights only as sensitivity checks.</w:t>
      </w:r>
    </w:p>
    <w:p>
      <w:pPr>
        <w:pStyle w:val="ListBullet"/>
      </w:pPr>
      <w:r>
        <w:t>Propagates published WGI standard errors through 10,000 simulations and separately perturbs weights through 10,000 Dirichlet draws.</w:t>
      </w:r>
    </w:p>
    <w:p>
      <w:pPr>
        <w:pStyle w:val="ListBullet"/>
      </w:pPr>
      <w:r>
        <w:t>Validates against Fraser PPI in a leakage-free design. Fraser PPI is never used simultaneously as both a model input and its target.</w:t>
      </w:r>
    </w:p>
    <w:p>
      <w:pPr>
        <w:pStyle w:val="ListBullet"/>
      </w:pPr>
      <w:r>
        <w:t>Reports a failed general-FDI predictive test as a boundary condition: FDI is not treated as proof of governance-layer success.</w:t>
      </w:r>
    </w:p>
    <w:p>
      <w:pPr>
        <w:pStyle w:val="Heading2"/>
      </w:pPr>
      <w:r>
        <w:t>Computational validation gates already passed</w:t>
      </w:r>
    </w:p>
    <w:p>
      <w:pPr>
        <w:pStyle w:val="ListBullet"/>
      </w:pPr>
      <w:r>
        <w:t>Complete official WGI panel: 368 country-year observations, covering 16 study countries and 23 years (2002-2024), with six scores and uncertainty fields.</w:t>
      </w:r>
    </w:p>
    <w:p>
      <w:pPr>
        <w:pStyle w:val="ListBullet"/>
      </w:pPr>
      <w:r>
        <w:t>No within-sample min-max rescaling and no hard-coded country performance constants in the candidate tables.</w:t>
      </w:r>
    </w:p>
    <w:p>
      <w:pPr>
        <w:pStyle w:val="ListBullet"/>
      </w:pPr>
      <w:r>
        <w:t>Leakage removed: the mining-policy benchmark is an external target/validation measure, not a simultaneous predictor.</w:t>
      </w:r>
    </w:p>
    <w:p>
      <w:pPr>
        <w:pStyle w:val="ListBullet"/>
      </w:pPr>
      <w:r>
        <w:t>Country-held-out and temporal validation designs are explicit; bootstrap resampling is clustered by country.</w:t>
      </w:r>
    </w:p>
    <w:p>
      <w:pPr>
        <w:pStyle w:val="ListBullet"/>
      </w:pPr>
      <w:r>
        <w:t>All primary and sensitivity weights sum to one; 2024 score and uncertainty outputs are complete for all 16 countries.</w:t>
      </w:r>
    </w:p>
    <w:p>
      <w:pPr>
        <w:pStyle w:val="ListBullet"/>
      </w:pPr>
      <w:r>
        <w:t>Independent repeat of the robustness run produced 11 byte-identical files.</w:t>
      </w:r>
    </w:p>
    <w:p>
      <w:pPr>
        <w:pStyle w:val="Heading2"/>
      </w:pPr>
      <w:r>
        <w:t>What remains outside Version C</w:t>
      </w:r>
    </w:p>
    <w:p>
      <w:r>
        <w:t>Version C does not manufacture a feedback loop, estimate project cash flows, or supply missing geology and firm-level investment decisions. Those would be separate extensions requiring new data and validation. Its role is narrower and defensible: country-governance screening and coherence diagnostics that can sit beside, but not substitute for, the project-level AHP-TOPSIS analysis.</w:t>
      </w:r>
    </w:p>
    <w:p>
      <w:pPr>
        <w:sectPr>
          <w:pgSz w:w="12240" w:h="15840"/>
          <w:pgMar w:top="936" w:right="1037" w:bottom="936" w:left="1037" w:header="720" w:footer="720" w:gutter="0"/>
          <w:cols w:space="720"/>
          <w:docGrid w:linePitch="360"/>
        </w:sectPr>
      </w:pPr>
    </w:p>
    <w:p>
      <w:pPr>
        <w:pStyle w:val="Heading1"/>
      </w:pPr>
      <w:r>
        <w:t>Candidate Table 8</w:t>
      </w:r>
    </w:p>
    <w:p>
      <w:r>
        <w:t>Suggested title: 2024 Six-Dimension Governance Coherence Scores under the Uniform Primary Specification. Intervals propagate official WGI dimension standard errors under an independent-normal approximation; rank intervals are not significance groups.</w:t>
      </w:r>
    </w:p>
    <w:tbl>
      <w:tblPr>
        <w:tblStyle w:val="TableGrid"/>
        <w:tblW w:type="auto" w:w="0"/>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835"/>
            <w:vAlign w:val="center"/>
            <w:shd w:fill="1F4E78"/>
          </w:tcPr>
          <w:p>
            <w:r/>
            <w:r>
              <w:rPr>
                <w:b/>
                <w:color w:val="FFFFFF"/>
                <w:sz w:val="15"/>
              </w:rPr>
              <w:t>PCI rank</w:t>
            </w:r>
          </w:p>
        </w:tc>
        <w:tc>
          <w:tcPr>
            <w:tcW w:type="dxa" w:w="2088"/>
            <w:vAlign w:val="center"/>
            <w:shd w:fill="1F4E78"/>
          </w:tcPr>
          <w:p>
            <w:r/>
            <w:r>
              <w:rPr>
                <w:b/>
                <w:color w:val="FFFFFF"/>
                <w:sz w:val="15"/>
              </w:rPr>
              <w:t>Country</w:t>
            </w:r>
          </w:p>
        </w:tc>
        <w:tc>
          <w:tcPr>
            <w:tcW w:type="dxa" w:w="792"/>
            <w:vAlign w:val="center"/>
            <w:shd w:fill="1F4E78"/>
          </w:tcPr>
          <w:p>
            <w:r/>
            <w:r>
              <w:rPr>
                <w:b/>
                <w:color w:val="FFFFFF"/>
                <w:sz w:val="15"/>
              </w:rPr>
              <w:t>ISO3</w:t>
            </w:r>
          </w:p>
        </w:tc>
        <w:tc>
          <w:tcPr>
            <w:tcW w:type="dxa" w:w="893"/>
            <w:vAlign w:val="center"/>
            <w:shd w:fill="1F4E78"/>
          </w:tcPr>
          <w:p>
            <w:r/>
            <w:r>
              <w:rPr>
                <w:b/>
                <w:color w:val="FFFFFF"/>
                <w:sz w:val="15"/>
              </w:rPr>
              <w:t>PCI</w:t>
            </w:r>
          </w:p>
        </w:tc>
        <w:tc>
          <w:tcPr>
            <w:tcW w:type="dxa" w:w="1800"/>
            <w:vAlign w:val="center"/>
            <w:shd w:fill="1F4E78"/>
          </w:tcPr>
          <w:p>
            <w:r/>
            <w:r>
              <w:rPr>
                <w:b/>
                <w:color w:val="FFFFFF"/>
                <w:sz w:val="15"/>
              </w:rPr>
              <w:t>PCI 95% interval</w:t>
            </w:r>
          </w:p>
        </w:tc>
        <w:tc>
          <w:tcPr>
            <w:tcW w:type="dxa" w:w="1512"/>
            <w:vAlign w:val="center"/>
            <w:shd w:fill="1F4E78"/>
          </w:tcPr>
          <w:p>
            <w:r/>
            <w:r>
              <w:rPr>
                <w:b/>
                <w:color w:val="FFFFFF"/>
                <w:sz w:val="15"/>
              </w:rPr>
              <w:t>PCI rank interval</w:t>
            </w:r>
          </w:p>
        </w:tc>
        <w:tc>
          <w:tcPr>
            <w:tcW w:type="dxa" w:w="893"/>
            <w:vAlign w:val="center"/>
            <w:shd w:fill="1F4E78"/>
          </w:tcPr>
          <w:p>
            <w:r/>
            <w:r>
              <w:rPr>
                <w:b/>
                <w:color w:val="FFFFFF"/>
                <w:sz w:val="15"/>
              </w:rPr>
              <w:t>RPCI</w:t>
            </w:r>
          </w:p>
        </w:tc>
        <w:tc>
          <w:tcPr>
            <w:tcW w:type="dxa" w:w="1037"/>
            <w:vAlign w:val="center"/>
            <w:shd w:fill="1F4E78"/>
          </w:tcPr>
          <w:p>
            <w:r/>
            <w:r>
              <w:rPr>
                <w:b/>
                <w:color w:val="FFFFFF"/>
                <w:sz w:val="15"/>
              </w:rPr>
              <w:t>RPCI rank</w:t>
            </w:r>
          </w:p>
        </w:tc>
        <w:tc>
          <w:tcPr>
            <w:tcW w:type="dxa" w:w="1800"/>
            <w:vAlign w:val="center"/>
            <w:shd w:fill="1F4E78"/>
          </w:tcPr>
          <w:p>
            <w:r/>
            <w:r>
              <w:rPr>
                <w:b/>
                <w:color w:val="FFFFFF"/>
                <w:sz w:val="15"/>
              </w:rPr>
              <w:t>RPCI 95% interval</w:t>
            </w:r>
          </w:p>
        </w:tc>
      </w:tr>
      <w:tr>
        <w:trPr>
          <w:cantSplit/>
        </w:trPr>
        <w:tc>
          <w:tcPr>
            <w:tcW w:type="dxa" w:w="835"/>
            <w:vAlign w:val="center"/>
          </w:tcPr>
          <w:p>
            <w:r/>
            <w:r>
              <w:rPr>
                <w:b w:val="0"/>
                <w:sz w:val="15"/>
              </w:rPr>
              <w:t>1</w:t>
            </w:r>
          </w:p>
        </w:tc>
        <w:tc>
          <w:tcPr>
            <w:tcW w:type="dxa" w:w="2088"/>
            <w:vAlign w:val="center"/>
          </w:tcPr>
          <w:p>
            <w:r/>
            <w:r>
              <w:rPr>
                <w:b w:val="0"/>
                <w:sz w:val="15"/>
              </w:rPr>
              <w:t>Botswana</w:t>
            </w:r>
          </w:p>
        </w:tc>
        <w:tc>
          <w:tcPr>
            <w:tcW w:type="dxa" w:w="792"/>
            <w:vAlign w:val="center"/>
          </w:tcPr>
          <w:p>
            <w:r/>
            <w:r>
              <w:rPr>
                <w:b w:val="0"/>
                <w:sz w:val="15"/>
              </w:rPr>
              <w:t>BWA</w:t>
            </w:r>
          </w:p>
        </w:tc>
        <w:tc>
          <w:tcPr>
            <w:tcW w:type="dxa" w:w="893"/>
            <w:vAlign w:val="center"/>
          </w:tcPr>
          <w:p>
            <w:r/>
            <w:r>
              <w:rPr>
                <w:b w:val="0"/>
                <w:sz w:val="15"/>
              </w:rPr>
              <w:t>0.5646</w:t>
            </w:r>
          </w:p>
        </w:tc>
        <w:tc>
          <w:tcPr>
            <w:tcW w:type="dxa" w:w="1800"/>
            <w:vAlign w:val="center"/>
          </w:tcPr>
          <w:p>
            <w:r/>
            <w:r>
              <w:rPr>
                <w:b w:val="0"/>
                <w:sz w:val="15"/>
              </w:rPr>
              <w:t>0.5246-0.5963</w:t>
            </w:r>
          </w:p>
        </w:tc>
        <w:tc>
          <w:tcPr>
            <w:tcW w:type="dxa" w:w="1512"/>
            <w:vAlign w:val="center"/>
          </w:tcPr>
          <w:p>
            <w:r/>
            <w:r>
              <w:rPr>
                <w:b w:val="0"/>
                <w:sz w:val="15"/>
              </w:rPr>
              <w:t>1-2</w:t>
            </w:r>
          </w:p>
        </w:tc>
        <w:tc>
          <w:tcPr>
            <w:tcW w:type="dxa" w:w="893"/>
            <w:vAlign w:val="center"/>
          </w:tcPr>
          <w:p>
            <w:r/>
            <w:r>
              <w:rPr>
                <w:b w:val="0"/>
                <w:sz w:val="15"/>
              </w:rPr>
              <w:t>0.5340</w:t>
            </w:r>
          </w:p>
        </w:tc>
        <w:tc>
          <w:tcPr>
            <w:tcW w:type="dxa" w:w="1037"/>
            <w:vAlign w:val="center"/>
          </w:tcPr>
          <w:p>
            <w:r/>
            <w:r>
              <w:rPr>
                <w:b w:val="0"/>
                <w:sz w:val="15"/>
              </w:rPr>
              <w:t>1</w:t>
            </w:r>
          </w:p>
        </w:tc>
        <w:tc>
          <w:tcPr>
            <w:tcW w:type="dxa" w:w="1800"/>
            <w:vAlign w:val="center"/>
          </w:tcPr>
          <w:p>
            <w:r/>
            <w:r>
              <w:rPr>
                <w:b w:val="0"/>
                <w:sz w:val="15"/>
              </w:rPr>
              <w:t>0.4816-0.5686</w:t>
            </w:r>
          </w:p>
        </w:tc>
      </w:tr>
      <w:tr>
        <w:trPr>
          <w:cantSplit/>
        </w:trPr>
        <w:tc>
          <w:tcPr>
            <w:tcW w:type="dxa" w:w="835"/>
            <w:vAlign w:val="center"/>
            <w:shd w:fill="EAF2F8"/>
          </w:tcPr>
          <w:p>
            <w:r/>
            <w:r>
              <w:rPr>
                <w:b w:val="0"/>
                <w:sz w:val="15"/>
              </w:rPr>
              <w:t>2</w:t>
            </w:r>
          </w:p>
        </w:tc>
        <w:tc>
          <w:tcPr>
            <w:tcW w:type="dxa" w:w="2088"/>
            <w:vAlign w:val="center"/>
            <w:shd w:fill="EAF2F8"/>
          </w:tcPr>
          <w:p>
            <w:r/>
            <w:r>
              <w:rPr>
                <w:b w:val="0"/>
                <w:sz w:val="15"/>
              </w:rPr>
              <w:t>Namibia</w:t>
            </w:r>
          </w:p>
        </w:tc>
        <w:tc>
          <w:tcPr>
            <w:tcW w:type="dxa" w:w="792"/>
            <w:vAlign w:val="center"/>
            <w:shd w:fill="EAF2F8"/>
          </w:tcPr>
          <w:p>
            <w:r/>
            <w:r>
              <w:rPr>
                <w:b w:val="0"/>
                <w:sz w:val="15"/>
              </w:rPr>
              <w:t>NAM</w:t>
            </w:r>
          </w:p>
        </w:tc>
        <w:tc>
          <w:tcPr>
            <w:tcW w:type="dxa" w:w="893"/>
            <w:vAlign w:val="center"/>
            <w:shd w:fill="EAF2F8"/>
          </w:tcPr>
          <w:p>
            <w:r/>
            <w:r>
              <w:rPr>
                <w:b w:val="0"/>
                <w:sz w:val="15"/>
              </w:rPr>
              <w:t>0.5212</w:t>
            </w:r>
          </w:p>
        </w:tc>
        <w:tc>
          <w:tcPr>
            <w:tcW w:type="dxa" w:w="1800"/>
            <w:vAlign w:val="center"/>
            <w:shd w:fill="EAF2F8"/>
          </w:tcPr>
          <w:p>
            <w:r/>
            <w:r>
              <w:rPr>
                <w:b w:val="0"/>
                <w:sz w:val="15"/>
              </w:rPr>
              <w:t>0.4794-0.5555</w:t>
            </w:r>
          </w:p>
        </w:tc>
        <w:tc>
          <w:tcPr>
            <w:tcW w:type="dxa" w:w="1512"/>
            <w:vAlign w:val="center"/>
            <w:shd w:fill="EAF2F8"/>
          </w:tcPr>
          <w:p>
            <w:r/>
            <w:r>
              <w:rPr>
                <w:b w:val="0"/>
                <w:sz w:val="15"/>
              </w:rPr>
              <w:t>1-4</w:t>
            </w:r>
          </w:p>
        </w:tc>
        <w:tc>
          <w:tcPr>
            <w:tcW w:type="dxa" w:w="893"/>
            <w:vAlign w:val="center"/>
            <w:shd w:fill="EAF2F8"/>
          </w:tcPr>
          <w:p>
            <w:r/>
            <w:r>
              <w:rPr>
                <w:b w:val="0"/>
                <w:sz w:val="15"/>
              </w:rPr>
              <w:t>0.4832</w:t>
            </w:r>
          </w:p>
        </w:tc>
        <w:tc>
          <w:tcPr>
            <w:tcW w:type="dxa" w:w="1037"/>
            <w:vAlign w:val="center"/>
            <w:shd w:fill="EAF2F8"/>
          </w:tcPr>
          <w:p>
            <w:r/>
            <w:r>
              <w:rPr>
                <w:b w:val="0"/>
                <w:sz w:val="15"/>
              </w:rPr>
              <w:t>3</w:t>
            </w:r>
          </w:p>
        </w:tc>
        <w:tc>
          <w:tcPr>
            <w:tcW w:type="dxa" w:w="1800"/>
            <w:vAlign w:val="center"/>
            <w:shd w:fill="EAF2F8"/>
          </w:tcPr>
          <w:p>
            <w:r/>
            <w:r>
              <w:rPr>
                <w:b w:val="0"/>
                <w:sz w:val="15"/>
              </w:rPr>
              <w:t>0.4315-0.5252</w:t>
            </w:r>
          </w:p>
        </w:tc>
      </w:tr>
      <w:tr>
        <w:trPr>
          <w:cantSplit/>
        </w:trPr>
        <w:tc>
          <w:tcPr>
            <w:tcW w:type="dxa" w:w="835"/>
            <w:vAlign w:val="center"/>
          </w:tcPr>
          <w:p>
            <w:r/>
            <w:r>
              <w:rPr>
                <w:b w:val="0"/>
                <w:sz w:val="15"/>
              </w:rPr>
              <w:t>3</w:t>
            </w:r>
          </w:p>
        </w:tc>
        <w:tc>
          <w:tcPr>
            <w:tcW w:type="dxa" w:w="2088"/>
            <w:vAlign w:val="center"/>
          </w:tcPr>
          <w:p>
            <w:r/>
            <w:r>
              <w:rPr>
                <w:b w:val="0"/>
                <w:sz w:val="15"/>
              </w:rPr>
              <w:t>Senegal</w:t>
            </w:r>
          </w:p>
        </w:tc>
        <w:tc>
          <w:tcPr>
            <w:tcW w:type="dxa" w:w="792"/>
            <w:vAlign w:val="center"/>
          </w:tcPr>
          <w:p>
            <w:r/>
            <w:r>
              <w:rPr>
                <w:b w:val="0"/>
                <w:sz w:val="15"/>
              </w:rPr>
              <w:t>SEN</w:t>
            </w:r>
          </w:p>
        </w:tc>
        <w:tc>
          <w:tcPr>
            <w:tcW w:type="dxa" w:w="893"/>
            <w:vAlign w:val="center"/>
          </w:tcPr>
          <w:p>
            <w:r/>
            <w:r>
              <w:rPr>
                <w:b w:val="0"/>
                <w:sz w:val="15"/>
              </w:rPr>
              <w:t>0.5095</w:t>
            </w:r>
          </w:p>
        </w:tc>
        <w:tc>
          <w:tcPr>
            <w:tcW w:type="dxa" w:w="1800"/>
            <w:vAlign w:val="center"/>
          </w:tcPr>
          <w:p>
            <w:r/>
            <w:r>
              <w:rPr>
                <w:b w:val="0"/>
                <w:sz w:val="15"/>
              </w:rPr>
              <w:t>0.4709-0.5334</w:t>
            </w:r>
          </w:p>
        </w:tc>
        <w:tc>
          <w:tcPr>
            <w:tcW w:type="dxa" w:w="1512"/>
            <w:vAlign w:val="center"/>
          </w:tcPr>
          <w:p>
            <w:r/>
            <w:r>
              <w:rPr>
                <w:b w:val="0"/>
                <w:sz w:val="15"/>
              </w:rPr>
              <w:t>2-4</w:t>
            </w:r>
          </w:p>
        </w:tc>
        <w:tc>
          <w:tcPr>
            <w:tcW w:type="dxa" w:w="893"/>
            <w:vAlign w:val="center"/>
          </w:tcPr>
          <w:p>
            <w:r/>
            <w:r>
              <w:rPr>
                <w:b w:val="0"/>
                <w:sz w:val="15"/>
              </w:rPr>
              <w:t>0.4889</w:t>
            </w:r>
          </w:p>
        </w:tc>
        <w:tc>
          <w:tcPr>
            <w:tcW w:type="dxa" w:w="1037"/>
            <w:vAlign w:val="center"/>
          </w:tcPr>
          <w:p>
            <w:r/>
            <w:r>
              <w:rPr>
                <w:b w:val="0"/>
                <w:sz w:val="15"/>
              </w:rPr>
              <w:t>2</w:t>
            </w:r>
          </w:p>
        </w:tc>
        <w:tc>
          <w:tcPr>
            <w:tcW w:type="dxa" w:w="1800"/>
            <w:vAlign w:val="center"/>
          </w:tcPr>
          <w:p>
            <w:r/>
            <w:r>
              <w:rPr>
                <w:b w:val="0"/>
                <w:sz w:val="15"/>
              </w:rPr>
              <w:t>0.4393-0.5177</w:t>
            </w:r>
          </w:p>
        </w:tc>
      </w:tr>
      <w:tr>
        <w:trPr>
          <w:cantSplit/>
        </w:trPr>
        <w:tc>
          <w:tcPr>
            <w:tcW w:type="dxa" w:w="835"/>
            <w:vAlign w:val="center"/>
            <w:shd w:fill="EAF2F8"/>
          </w:tcPr>
          <w:p>
            <w:r/>
            <w:r>
              <w:rPr>
                <w:b w:val="0"/>
                <w:sz w:val="15"/>
              </w:rPr>
              <w:t>4</w:t>
            </w:r>
          </w:p>
        </w:tc>
        <w:tc>
          <w:tcPr>
            <w:tcW w:type="dxa" w:w="2088"/>
            <w:vAlign w:val="center"/>
            <w:shd w:fill="EAF2F8"/>
          </w:tcPr>
          <w:p>
            <w:r/>
            <w:r>
              <w:rPr>
                <w:b w:val="0"/>
                <w:sz w:val="15"/>
              </w:rPr>
              <w:t>Ghana</w:t>
            </w:r>
          </w:p>
        </w:tc>
        <w:tc>
          <w:tcPr>
            <w:tcW w:type="dxa" w:w="792"/>
            <w:vAlign w:val="center"/>
            <w:shd w:fill="EAF2F8"/>
          </w:tcPr>
          <w:p>
            <w:r/>
            <w:r>
              <w:rPr>
                <w:b w:val="0"/>
                <w:sz w:val="15"/>
              </w:rPr>
              <w:t>GHA</w:t>
            </w:r>
          </w:p>
        </w:tc>
        <w:tc>
          <w:tcPr>
            <w:tcW w:type="dxa" w:w="893"/>
            <w:vAlign w:val="center"/>
            <w:shd w:fill="EAF2F8"/>
          </w:tcPr>
          <w:p>
            <w:r/>
            <w:r>
              <w:rPr>
                <w:b w:val="0"/>
                <w:sz w:val="15"/>
              </w:rPr>
              <w:t>0.4878</w:t>
            </w:r>
          </w:p>
        </w:tc>
        <w:tc>
          <w:tcPr>
            <w:tcW w:type="dxa" w:w="1800"/>
            <w:vAlign w:val="center"/>
            <w:shd w:fill="EAF2F8"/>
          </w:tcPr>
          <w:p>
            <w:r/>
            <w:r>
              <w:rPr>
                <w:b w:val="0"/>
                <w:sz w:val="15"/>
              </w:rPr>
              <w:t>0.4502-0.5165</w:t>
            </w:r>
          </w:p>
        </w:tc>
        <w:tc>
          <w:tcPr>
            <w:tcW w:type="dxa" w:w="1512"/>
            <w:vAlign w:val="center"/>
            <w:shd w:fill="EAF2F8"/>
          </w:tcPr>
          <w:p>
            <w:r/>
            <w:r>
              <w:rPr>
                <w:b w:val="0"/>
                <w:sz w:val="15"/>
              </w:rPr>
              <w:t>2-5</w:t>
            </w:r>
          </w:p>
        </w:tc>
        <w:tc>
          <w:tcPr>
            <w:tcW w:type="dxa" w:w="893"/>
            <w:vAlign w:val="center"/>
            <w:shd w:fill="EAF2F8"/>
          </w:tcPr>
          <w:p>
            <w:r/>
            <w:r>
              <w:rPr>
                <w:b w:val="0"/>
                <w:sz w:val="15"/>
              </w:rPr>
              <w:t>0.4540</w:t>
            </w:r>
          </w:p>
        </w:tc>
        <w:tc>
          <w:tcPr>
            <w:tcW w:type="dxa" w:w="1037"/>
            <w:vAlign w:val="center"/>
            <w:shd w:fill="EAF2F8"/>
          </w:tcPr>
          <w:p>
            <w:r/>
            <w:r>
              <w:rPr>
                <w:b w:val="0"/>
                <w:sz w:val="15"/>
              </w:rPr>
              <w:t>4</w:t>
            </w:r>
          </w:p>
        </w:tc>
        <w:tc>
          <w:tcPr>
            <w:tcW w:type="dxa" w:w="1800"/>
            <w:vAlign w:val="center"/>
            <w:shd w:fill="EAF2F8"/>
          </w:tcPr>
          <w:p>
            <w:r/>
            <w:r>
              <w:rPr>
                <w:b w:val="0"/>
                <w:sz w:val="15"/>
              </w:rPr>
              <w:t>0.4076-0.4902</w:t>
            </w:r>
          </w:p>
        </w:tc>
      </w:tr>
      <w:tr>
        <w:trPr>
          <w:cantSplit/>
        </w:trPr>
        <w:tc>
          <w:tcPr>
            <w:tcW w:type="dxa" w:w="835"/>
            <w:vAlign w:val="center"/>
          </w:tcPr>
          <w:p>
            <w:r/>
            <w:r>
              <w:rPr>
                <w:b w:val="0"/>
                <w:sz w:val="15"/>
              </w:rPr>
              <w:t>5</w:t>
            </w:r>
          </w:p>
        </w:tc>
        <w:tc>
          <w:tcPr>
            <w:tcW w:type="dxa" w:w="2088"/>
            <w:vAlign w:val="center"/>
          </w:tcPr>
          <w:p>
            <w:r/>
            <w:r>
              <w:rPr>
                <w:b w:val="0"/>
                <w:sz w:val="15"/>
              </w:rPr>
              <w:t>South Africa</w:t>
            </w:r>
          </w:p>
        </w:tc>
        <w:tc>
          <w:tcPr>
            <w:tcW w:type="dxa" w:w="792"/>
            <w:vAlign w:val="center"/>
          </w:tcPr>
          <w:p>
            <w:r/>
            <w:r>
              <w:rPr>
                <w:b w:val="0"/>
                <w:sz w:val="15"/>
              </w:rPr>
              <w:t>ZAF</w:t>
            </w:r>
          </w:p>
        </w:tc>
        <w:tc>
          <w:tcPr>
            <w:tcW w:type="dxa" w:w="893"/>
            <w:vAlign w:val="center"/>
          </w:tcPr>
          <w:p>
            <w:r/>
            <w:r>
              <w:rPr>
                <w:b w:val="0"/>
                <w:sz w:val="15"/>
              </w:rPr>
              <w:t>0.4658</w:t>
            </w:r>
          </w:p>
        </w:tc>
        <w:tc>
          <w:tcPr>
            <w:tcW w:type="dxa" w:w="1800"/>
            <w:vAlign w:val="center"/>
          </w:tcPr>
          <w:p>
            <w:r/>
            <w:r>
              <w:rPr>
                <w:b w:val="0"/>
                <w:sz w:val="15"/>
              </w:rPr>
              <w:t>0.4224-0.4997</w:t>
            </w:r>
          </w:p>
        </w:tc>
        <w:tc>
          <w:tcPr>
            <w:tcW w:type="dxa" w:w="1512"/>
            <w:vAlign w:val="center"/>
          </w:tcPr>
          <w:p>
            <w:r/>
            <w:r>
              <w:rPr>
                <w:b w:val="0"/>
                <w:sz w:val="15"/>
              </w:rPr>
              <w:t>3-6</w:t>
            </w:r>
          </w:p>
        </w:tc>
        <w:tc>
          <w:tcPr>
            <w:tcW w:type="dxa" w:w="893"/>
            <w:vAlign w:val="center"/>
          </w:tcPr>
          <w:p>
            <w:r/>
            <w:r>
              <w:rPr>
                <w:b w:val="0"/>
                <w:sz w:val="15"/>
              </w:rPr>
              <w:t>0.4300</w:t>
            </w:r>
          </w:p>
        </w:tc>
        <w:tc>
          <w:tcPr>
            <w:tcW w:type="dxa" w:w="1037"/>
            <w:vAlign w:val="center"/>
          </w:tcPr>
          <w:p>
            <w:r/>
            <w:r>
              <w:rPr>
                <w:b w:val="0"/>
                <w:sz w:val="15"/>
              </w:rPr>
              <w:t>5</w:t>
            </w:r>
          </w:p>
        </w:tc>
        <w:tc>
          <w:tcPr>
            <w:tcW w:type="dxa" w:w="1800"/>
            <w:vAlign w:val="center"/>
          </w:tcPr>
          <w:p>
            <w:r/>
            <w:r>
              <w:rPr>
                <w:b w:val="0"/>
                <w:sz w:val="15"/>
              </w:rPr>
              <w:t>0.3783-0.4700</w:t>
            </w:r>
          </w:p>
        </w:tc>
      </w:tr>
      <w:tr>
        <w:trPr>
          <w:cantSplit/>
        </w:trPr>
        <w:tc>
          <w:tcPr>
            <w:tcW w:type="dxa" w:w="835"/>
            <w:vAlign w:val="center"/>
            <w:shd w:fill="EAF2F8"/>
          </w:tcPr>
          <w:p>
            <w:r/>
            <w:r>
              <w:rPr>
                <w:b w:val="0"/>
                <w:sz w:val="15"/>
              </w:rPr>
              <w:t>6</w:t>
            </w:r>
          </w:p>
        </w:tc>
        <w:tc>
          <w:tcPr>
            <w:tcW w:type="dxa" w:w="2088"/>
            <w:vAlign w:val="center"/>
            <w:shd w:fill="EAF2F8"/>
          </w:tcPr>
          <w:p>
            <w:r/>
            <w:r>
              <w:rPr>
                <w:b w:val="0"/>
                <w:sz w:val="15"/>
              </w:rPr>
              <w:t>Morocco</w:t>
            </w:r>
          </w:p>
        </w:tc>
        <w:tc>
          <w:tcPr>
            <w:tcW w:type="dxa" w:w="792"/>
            <w:vAlign w:val="center"/>
            <w:shd w:fill="EAF2F8"/>
          </w:tcPr>
          <w:p>
            <w:r/>
            <w:r>
              <w:rPr>
                <w:b w:val="0"/>
                <w:sz w:val="15"/>
              </w:rPr>
              <w:t>MAR</w:t>
            </w:r>
          </w:p>
        </w:tc>
        <w:tc>
          <w:tcPr>
            <w:tcW w:type="dxa" w:w="893"/>
            <w:vAlign w:val="center"/>
            <w:shd w:fill="EAF2F8"/>
          </w:tcPr>
          <w:p>
            <w:r/>
            <w:r>
              <w:rPr>
                <w:b w:val="0"/>
                <w:sz w:val="15"/>
              </w:rPr>
              <w:t>0.4279</w:t>
            </w:r>
          </w:p>
        </w:tc>
        <w:tc>
          <w:tcPr>
            <w:tcW w:type="dxa" w:w="1800"/>
            <w:vAlign w:val="center"/>
            <w:shd w:fill="EAF2F8"/>
          </w:tcPr>
          <w:p>
            <w:r/>
            <w:r>
              <w:rPr>
                <w:b w:val="0"/>
                <w:sz w:val="15"/>
              </w:rPr>
              <w:t>0.3883-0.4567</w:t>
            </w:r>
          </w:p>
        </w:tc>
        <w:tc>
          <w:tcPr>
            <w:tcW w:type="dxa" w:w="1512"/>
            <w:vAlign w:val="center"/>
            <w:shd w:fill="EAF2F8"/>
          </w:tcPr>
          <w:p>
            <w:r/>
            <w:r>
              <w:rPr>
                <w:b w:val="0"/>
                <w:sz w:val="15"/>
              </w:rPr>
              <w:t>5-8</w:t>
            </w:r>
          </w:p>
        </w:tc>
        <w:tc>
          <w:tcPr>
            <w:tcW w:type="dxa" w:w="893"/>
            <w:vAlign w:val="center"/>
            <w:shd w:fill="EAF2F8"/>
          </w:tcPr>
          <w:p>
            <w:r/>
            <w:r>
              <w:rPr>
                <w:b w:val="0"/>
                <w:sz w:val="15"/>
              </w:rPr>
              <w:t>0.3944</w:t>
            </w:r>
          </w:p>
        </w:tc>
        <w:tc>
          <w:tcPr>
            <w:tcW w:type="dxa" w:w="1037"/>
            <w:vAlign w:val="center"/>
            <w:shd w:fill="EAF2F8"/>
          </w:tcPr>
          <w:p>
            <w:r/>
            <w:r>
              <w:rPr>
                <w:b w:val="0"/>
                <w:sz w:val="15"/>
              </w:rPr>
              <w:t>7</w:t>
            </w:r>
          </w:p>
        </w:tc>
        <w:tc>
          <w:tcPr>
            <w:tcW w:type="dxa" w:w="1800"/>
            <w:vAlign w:val="center"/>
            <w:shd w:fill="EAF2F8"/>
          </w:tcPr>
          <w:p>
            <w:r/>
            <w:r>
              <w:rPr>
                <w:b w:val="0"/>
                <w:sz w:val="15"/>
              </w:rPr>
              <w:t>0.3469-0.4288</w:t>
            </w:r>
          </w:p>
        </w:tc>
      </w:tr>
      <w:tr>
        <w:trPr>
          <w:cantSplit/>
        </w:trPr>
        <w:tc>
          <w:tcPr>
            <w:tcW w:type="dxa" w:w="835"/>
            <w:vAlign w:val="center"/>
          </w:tcPr>
          <w:p>
            <w:r/>
            <w:r>
              <w:rPr>
                <w:b w:val="0"/>
                <w:sz w:val="15"/>
              </w:rPr>
              <w:t>7</w:t>
            </w:r>
          </w:p>
        </w:tc>
        <w:tc>
          <w:tcPr>
            <w:tcW w:type="dxa" w:w="2088"/>
            <w:vAlign w:val="center"/>
          </w:tcPr>
          <w:p>
            <w:r/>
            <w:r>
              <w:rPr>
                <w:b w:val="0"/>
                <w:sz w:val="15"/>
              </w:rPr>
              <w:t>Tanzania</w:t>
            </w:r>
          </w:p>
        </w:tc>
        <w:tc>
          <w:tcPr>
            <w:tcW w:type="dxa" w:w="792"/>
            <w:vAlign w:val="center"/>
          </w:tcPr>
          <w:p>
            <w:r/>
            <w:r>
              <w:rPr>
                <w:b w:val="0"/>
                <w:sz w:val="15"/>
              </w:rPr>
              <w:t>TZA</w:t>
            </w:r>
          </w:p>
        </w:tc>
        <w:tc>
          <w:tcPr>
            <w:tcW w:type="dxa" w:w="893"/>
            <w:vAlign w:val="center"/>
          </w:tcPr>
          <w:p>
            <w:r/>
            <w:r>
              <w:rPr>
                <w:b w:val="0"/>
                <w:sz w:val="15"/>
              </w:rPr>
              <w:t>0.4237</w:t>
            </w:r>
          </w:p>
        </w:tc>
        <w:tc>
          <w:tcPr>
            <w:tcW w:type="dxa" w:w="1800"/>
            <w:vAlign w:val="center"/>
          </w:tcPr>
          <w:p>
            <w:r/>
            <w:r>
              <w:rPr>
                <w:b w:val="0"/>
                <w:sz w:val="15"/>
              </w:rPr>
              <w:t>0.3846-0.4510</w:t>
            </w:r>
          </w:p>
        </w:tc>
        <w:tc>
          <w:tcPr>
            <w:tcW w:type="dxa" w:w="1512"/>
            <w:vAlign w:val="center"/>
          </w:tcPr>
          <w:p>
            <w:r/>
            <w:r>
              <w:rPr>
                <w:b w:val="0"/>
                <w:sz w:val="15"/>
              </w:rPr>
              <w:t>5-8</w:t>
            </w:r>
          </w:p>
        </w:tc>
        <w:tc>
          <w:tcPr>
            <w:tcW w:type="dxa" w:w="893"/>
            <w:vAlign w:val="center"/>
          </w:tcPr>
          <w:p>
            <w:r/>
            <w:r>
              <w:rPr>
                <w:b w:val="0"/>
                <w:sz w:val="15"/>
              </w:rPr>
              <w:t>0.4003</w:t>
            </w:r>
          </w:p>
        </w:tc>
        <w:tc>
          <w:tcPr>
            <w:tcW w:type="dxa" w:w="1037"/>
            <w:vAlign w:val="center"/>
          </w:tcPr>
          <w:p>
            <w:r/>
            <w:r>
              <w:rPr>
                <w:b w:val="0"/>
                <w:sz w:val="15"/>
              </w:rPr>
              <w:t>6</w:t>
            </w:r>
          </w:p>
        </w:tc>
        <w:tc>
          <w:tcPr>
            <w:tcW w:type="dxa" w:w="1800"/>
            <w:vAlign w:val="center"/>
          </w:tcPr>
          <w:p>
            <w:r/>
            <w:r>
              <w:rPr>
                <w:b w:val="0"/>
                <w:sz w:val="15"/>
              </w:rPr>
              <w:t>0.3504-0.4329</w:t>
            </w:r>
          </w:p>
        </w:tc>
      </w:tr>
      <w:tr>
        <w:trPr>
          <w:cantSplit/>
        </w:trPr>
        <w:tc>
          <w:tcPr>
            <w:tcW w:type="dxa" w:w="835"/>
            <w:vAlign w:val="center"/>
            <w:shd w:fill="EAF2F8"/>
          </w:tcPr>
          <w:p>
            <w:r/>
            <w:r>
              <w:rPr>
                <w:b w:val="0"/>
                <w:sz w:val="15"/>
              </w:rPr>
              <w:t>8</w:t>
            </w:r>
          </w:p>
        </w:tc>
        <w:tc>
          <w:tcPr>
            <w:tcW w:type="dxa" w:w="2088"/>
            <w:vAlign w:val="center"/>
            <w:shd w:fill="EAF2F8"/>
          </w:tcPr>
          <w:p>
            <w:r/>
            <w:r>
              <w:rPr>
                <w:b w:val="0"/>
                <w:sz w:val="15"/>
              </w:rPr>
              <w:t>Zambia</w:t>
            </w:r>
          </w:p>
        </w:tc>
        <w:tc>
          <w:tcPr>
            <w:tcW w:type="dxa" w:w="792"/>
            <w:vAlign w:val="center"/>
            <w:shd w:fill="EAF2F8"/>
          </w:tcPr>
          <w:p>
            <w:r/>
            <w:r>
              <w:rPr>
                <w:b w:val="0"/>
                <w:sz w:val="15"/>
              </w:rPr>
              <w:t>ZMB</w:t>
            </w:r>
          </w:p>
        </w:tc>
        <w:tc>
          <w:tcPr>
            <w:tcW w:type="dxa" w:w="893"/>
            <w:vAlign w:val="center"/>
            <w:shd w:fill="EAF2F8"/>
          </w:tcPr>
          <w:p>
            <w:r/>
            <w:r>
              <w:rPr>
                <w:b w:val="0"/>
                <w:sz w:val="15"/>
              </w:rPr>
              <w:t>0.3998</w:t>
            </w:r>
          </w:p>
        </w:tc>
        <w:tc>
          <w:tcPr>
            <w:tcW w:type="dxa" w:w="1800"/>
            <w:vAlign w:val="center"/>
            <w:shd w:fill="EAF2F8"/>
          </w:tcPr>
          <w:p>
            <w:r/>
            <w:r>
              <w:rPr>
                <w:b w:val="0"/>
                <w:sz w:val="15"/>
              </w:rPr>
              <w:t>0.3610-0.4319</w:t>
            </w:r>
          </w:p>
        </w:tc>
        <w:tc>
          <w:tcPr>
            <w:tcW w:type="dxa" w:w="1512"/>
            <w:vAlign w:val="center"/>
            <w:shd w:fill="EAF2F8"/>
          </w:tcPr>
          <w:p>
            <w:r/>
            <w:r>
              <w:rPr>
                <w:b w:val="0"/>
                <w:sz w:val="15"/>
              </w:rPr>
              <w:t>6-8</w:t>
            </w:r>
          </w:p>
        </w:tc>
        <w:tc>
          <w:tcPr>
            <w:tcW w:type="dxa" w:w="893"/>
            <w:vAlign w:val="center"/>
            <w:shd w:fill="EAF2F8"/>
          </w:tcPr>
          <w:p>
            <w:r/>
            <w:r>
              <w:rPr>
                <w:b w:val="0"/>
                <w:sz w:val="15"/>
              </w:rPr>
              <w:t>0.3641</w:t>
            </w:r>
          </w:p>
        </w:tc>
        <w:tc>
          <w:tcPr>
            <w:tcW w:type="dxa" w:w="1037"/>
            <w:vAlign w:val="center"/>
            <w:shd w:fill="EAF2F8"/>
          </w:tcPr>
          <w:p>
            <w:r/>
            <w:r>
              <w:rPr>
                <w:b w:val="0"/>
                <w:sz w:val="15"/>
              </w:rPr>
              <w:t>8</w:t>
            </w:r>
          </w:p>
        </w:tc>
        <w:tc>
          <w:tcPr>
            <w:tcW w:type="dxa" w:w="1800"/>
            <w:vAlign w:val="center"/>
            <w:shd w:fill="EAF2F8"/>
          </w:tcPr>
          <w:p>
            <w:r/>
            <w:r>
              <w:rPr>
                <w:b w:val="0"/>
                <w:sz w:val="15"/>
              </w:rPr>
              <w:t>0.3164-0.4032</w:t>
            </w:r>
          </w:p>
        </w:tc>
      </w:tr>
      <w:tr>
        <w:trPr>
          <w:cantSplit/>
        </w:trPr>
        <w:tc>
          <w:tcPr>
            <w:tcW w:type="dxa" w:w="835"/>
            <w:vAlign w:val="center"/>
          </w:tcPr>
          <w:p>
            <w:r/>
            <w:r>
              <w:rPr>
                <w:b w:val="0"/>
                <w:sz w:val="15"/>
              </w:rPr>
              <w:t>9</w:t>
            </w:r>
          </w:p>
        </w:tc>
        <w:tc>
          <w:tcPr>
            <w:tcW w:type="dxa" w:w="2088"/>
            <w:vAlign w:val="center"/>
          </w:tcPr>
          <w:p>
            <w:r/>
            <w:r>
              <w:rPr>
                <w:b w:val="0"/>
                <w:sz w:val="15"/>
              </w:rPr>
              <w:t>Sierra Leone</w:t>
            </w:r>
          </w:p>
        </w:tc>
        <w:tc>
          <w:tcPr>
            <w:tcW w:type="dxa" w:w="792"/>
            <w:vAlign w:val="center"/>
          </w:tcPr>
          <w:p>
            <w:r/>
            <w:r>
              <w:rPr>
                <w:b w:val="0"/>
                <w:sz w:val="15"/>
              </w:rPr>
              <w:t>SLE</w:t>
            </w:r>
          </w:p>
        </w:tc>
        <w:tc>
          <w:tcPr>
            <w:tcW w:type="dxa" w:w="893"/>
            <w:vAlign w:val="center"/>
          </w:tcPr>
          <w:p>
            <w:r/>
            <w:r>
              <w:rPr>
                <w:b w:val="0"/>
                <w:sz w:val="15"/>
              </w:rPr>
              <w:t>0.3329</w:t>
            </w:r>
          </w:p>
        </w:tc>
        <w:tc>
          <w:tcPr>
            <w:tcW w:type="dxa" w:w="1800"/>
            <w:vAlign w:val="center"/>
          </w:tcPr>
          <w:p>
            <w:r/>
            <w:r>
              <w:rPr>
                <w:b w:val="0"/>
                <w:sz w:val="15"/>
              </w:rPr>
              <w:t>0.2940-0.3656</w:t>
            </w:r>
          </w:p>
        </w:tc>
        <w:tc>
          <w:tcPr>
            <w:tcW w:type="dxa" w:w="1512"/>
            <w:vAlign w:val="center"/>
          </w:tcPr>
          <w:p>
            <w:r/>
            <w:r>
              <w:rPr>
                <w:b w:val="0"/>
                <w:sz w:val="15"/>
              </w:rPr>
              <w:t>9-12</w:t>
            </w:r>
          </w:p>
        </w:tc>
        <w:tc>
          <w:tcPr>
            <w:tcW w:type="dxa" w:w="893"/>
            <w:vAlign w:val="center"/>
          </w:tcPr>
          <w:p>
            <w:r/>
            <w:r>
              <w:rPr>
                <w:b w:val="0"/>
                <w:sz w:val="15"/>
              </w:rPr>
              <w:t>0.2945</w:t>
            </w:r>
          </w:p>
        </w:tc>
        <w:tc>
          <w:tcPr>
            <w:tcW w:type="dxa" w:w="1037"/>
            <w:vAlign w:val="center"/>
          </w:tcPr>
          <w:p>
            <w:r/>
            <w:r>
              <w:rPr>
                <w:b w:val="0"/>
                <w:sz w:val="15"/>
              </w:rPr>
              <w:t>10</w:t>
            </w:r>
          </w:p>
        </w:tc>
        <w:tc>
          <w:tcPr>
            <w:tcW w:type="dxa" w:w="1800"/>
            <w:vAlign w:val="center"/>
          </w:tcPr>
          <w:p>
            <w:r/>
            <w:r>
              <w:rPr>
                <w:b w:val="0"/>
                <w:sz w:val="15"/>
              </w:rPr>
              <w:t>0.2490-0.3343</w:t>
            </w:r>
          </w:p>
        </w:tc>
      </w:tr>
      <w:tr>
        <w:trPr>
          <w:cantSplit/>
        </w:trPr>
        <w:tc>
          <w:tcPr>
            <w:tcW w:type="dxa" w:w="835"/>
            <w:vAlign w:val="center"/>
            <w:shd w:fill="EAF2F8"/>
          </w:tcPr>
          <w:p>
            <w:r/>
            <w:r>
              <w:rPr>
                <w:b w:val="0"/>
                <w:sz w:val="15"/>
              </w:rPr>
              <w:t>10</w:t>
            </w:r>
          </w:p>
        </w:tc>
        <w:tc>
          <w:tcPr>
            <w:tcW w:type="dxa" w:w="2088"/>
            <w:vAlign w:val="center"/>
            <w:shd w:fill="EAF2F8"/>
          </w:tcPr>
          <w:p>
            <w:r/>
            <w:r>
              <w:rPr>
                <w:b w:val="0"/>
                <w:sz w:val="15"/>
              </w:rPr>
              <w:t>Mauritania</w:t>
            </w:r>
          </w:p>
        </w:tc>
        <w:tc>
          <w:tcPr>
            <w:tcW w:type="dxa" w:w="792"/>
            <w:vAlign w:val="center"/>
            <w:shd w:fill="EAF2F8"/>
          </w:tcPr>
          <w:p>
            <w:r/>
            <w:r>
              <w:rPr>
                <w:b w:val="0"/>
                <w:sz w:val="15"/>
              </w:rPr>
              <w:t>MRT</w:t>
            </w:r>
          </w:p>
        </w:tc>
        <w:tc>
          <w:tcPr>
            <w:tcW w:type="dxa" w:w="893"/>
            <w:vAlign w:val="center"/>
            <w:shd w:fill="EAF2F8"/>
          </w:tcPr>
          <w:p>
            <w:r/>
            <w:r>
              <w:rPr>
                <w:b w:val="0"/>
                <w:sz w:val="15"/>
              </w:rPr>
              <w:t>0.3309</w:t>
            </w:r>
          </w:p>
        </w:tc>
        <w:tc>
          <w:tcPr>
            <w:tcW w:type="dxa" w:w="1800"/>
            <w:vAlign w:val="center"/>
            <w:shd w:fill="EAF2F8"/>
          </w:tcPr>
          <w:p>
            <w:r/>
            <w:r>
              <w:rPr>
                <w:b w:val="0"/>
                <w:sz w:val="15"/>
              </w:rPr>
              <w:t>0.2891-0.3648</w:t>
            </w:r>
          </w:p>
        </w:tc>
        <w:tc>
          <w:tcPr>
            <w:tcW w:type="dxa" w:w="1512"/>
            <w:vAlign w:val="center"/>
            <w:shd w:fill="EAF2F8"/>
          </w:tcPr>
          <w:p>
            <w:r/>
            <w:r>
              <w:rPr>
                <w:b w:val="0"/>
                <w:sz w:val="15"/>
              </w:rPr>
              <w:t>9-12</w:t>
            </w:r>
          </w:p>
        </w:tc>
        <w:tc>
          <w:tcPr>
            <w:tcW w:type="dxa" w:w="893"/>
            <w:vAlign w:val="center"/>
            <w:shd w:fill="EAF2F8"/>
          </w:tcPr>
          <w:p>
            <w:r/>
            <w:r>
              <w:rPr>
                <w:b w:val="0"/>
                <w:sz w:val="15"/>
              </w:rPr>
              <w:t>0.2963</w:t>
            </w:r>
          </w:p>
        </w:tc>
        <w:tc>
          <w:tcPr>
            <w:tcW w:type="dxa" w:w="1037"/>
            <w:vAlign w:val="center"/>
            <w:shd w:fill="EAF2F8"/>
          </w:tcPr>
          <w:p>
            <w:r/>
            <w:r>
              <w:rPr>
                <w:b w:val="0"/>
                <w:sz w:val="15"/>
              </w:rPr>
              <w:t>9</w:t>
            </w:r>
          </w:p>
        </w:tc>
        <w:tc>
          <w:tcPr>
            <w:tcW w:type="dxa" w:w="1800"/>
            <w:vAlign w:val="center"/>
            <w:shd w:fill="EAF2F8"/>
          </w:tcPr>
          <w:p>
            <w:r/>
            <w:r>
              <w:rPr>
                <w:b w:val="0"/>
                <w:sz w:val="15"/>
              </w:rPr>
              <w:t>0.2470-0.3369</w:t>
            </w:r>
          </w:p>
        </w:tc>
      </w:tr>
      <w:tr>
        <w:trPr>
          <w:cantSplit/>
        </w:trPr>
        <w:tc>
          <w:tcPr>
            <w:tcW w:type="dxa" w:w="835"/>
            <w:vAlign w:val="center"/>
          </w:tcPr>
          <w:p>
            <w:r/>
            <w:r>
              <w:rPr>
                <w:b w:val="0"/>
                <w:sz w:val="15"/>
              </w:rPr>
              <w:t>11</w:t>
            </w:r>
          </w:p>
        </w:tc>
        <w:tc>
          <w:tcPr>
            <w:tcW w:type="dxa" w:w="2088"/>
            <w:vAlign w:val="center"/>
          </w:tcPr>
          <w:p>
            <w:r/>
            <w:r>
              <w:rPr>
                <w:b w:val="0"/>
                <w:sz w:val="15"/>
              </w:rPr>
              <w:t>Mozambique</w:t>
            </w:r>
          </w:p>
        </w:tc>
        <w:tc>
          <w:tcPr>
            <w:tcW w:type="dxa" w:w="792"/>
            <w:vAlign w:val="center"/>
          </w:tcPr>
          <w:p>
            <w:r/>
            <w:r>
              <w:rPr>
                <w:b w:val="0"/>
                <w:sz w:val="15"/>
              </w:rPr>
              <w:t>MOZ</w:t>
            </w:r>
          </w:p>
        </w:tc>
        <w:tc>
          <w:tcPr>
            <w:tcW w:type="dxa" w:w="893"/>
            <w:vAlign w:val="center"/>
          </w:tcPr>
          <w:p>
            <w:r/>
            <w:r>
              <w:rPr>
                <w:b w:val="0"/>
                <w:sz w:val="15"/>
              </w:rPr>
              <w:t>0.3133</w:t>
            </w:r>
          </w:p>
        </w:tc>
        <w:tc>
          <w:tcPr>
            <w:tcW w:type="dxa" w:w="1800"/>
            <w:vAlign w:val="center"/>
          </w:tcPr>
          <w:p>
            <w:r/>
            <w:r>
              <w:rPr>
                <w:b w:val="0"/>
                <w:sz w:val="15"/>
              </w:rPr>
              <w:t>0.2715-0.3428</w:t>
            </w:r>
          </w:p>
        </w:tc>
        <w:tc>
          <w:tcPr>
            <w:tcW w:type="dxa" w:w="1512"/>
            <w:vAlign w:val="center"/>
          </w:tcPr>
          <w:p>
            <w:r/>
            <w:r>
              <w:rPr>
                <w:b w:val="0"/>
                <w:sz w:val="15"/>
              </w:rPr>
              <w:t>9-14</w:t>
            </w:r>
          </w:p>
        </w:tc>
        <w:tc>
          <w:tcPr>
            <w:tcW w:type="dxa" w:w="893"/>
            <w:vAlign w:val="center"/>
          </w:tcPr>
          <w:p>
            <w:r/>
            <w:r>
              <w:rPr>
                <w:b w:val="0"/>
                <w:sz w:val="15"/>
              </w:rPr>
              <w:t>0.2909</w:t>
            </w:r>
          </w:p>
        </w:tc>
        <w:tc>
          <w:tcPr>
            <w:tcW w:type="dxa" w:w="1037"/>
            <w:vAlign w:val="center"/>
          </w:tcPr>
          <w:p>
            <w:r/>
            <w:r>
              <w:rPr>
                <w:b w:val="0"/>
                <w:sz w:val="15"/>
              </w:rPr>
              <w:t>11</w:t>
            </w:r>
          </w:p>
        </w:tc>
        <w:tc>
          <w:tcPr>
            <w:tcW w:type="dxa" w:w="1800"/>
            <w:vAlign w:val="center"/>
          </w:tcPr>
          <w:p>
            <w:r/>
            <w:r>
              <w:rPr>
                <w:b w:val="0"/>
                <w:sz w:val="15"/>
              </w:rPr>
              <w:t>0.2410-0.3241</w:t>
            </w:r>
          </w:p>
        </w:tc>
      </w:tr>
      <w:tr>
        <w:trPr>
          <w:cantSplit/>
        </w:trPr>
        <w:tc>
          <w:tcPr>
            <w:tcW w:type="dxa" w:w="835"/>
            <w:vAlign w:val="center"/>
            <w:shd w:fill="EAF2F8"/>
          </w:tcPr>
          <w:p>
            <w:r/>
            <w:r>
              <w:rPr>
                <w:b w:val="0"/>
                <w:sz w:val="15"/>
              </w:rPr>
              <w:t>12</w:t>
            </w:r>
          </w:p>
        </w:tc>
        <w:tc>
          <w:tcPr>
            <w:tcW w:type="dxa" w:w="2088"/>
            <w:vAlign w:val="center"/>
            <w:shd w:fill="EAF2F8"/>
          </w:tcPr>
          <w:p>
            <w:r/>
            <w:r>
              <w:rPr>
                <w:b w:val="0"/>
                <w:sz w:val="15"/>
              </w:rPr>
              <w:t>Guinea</w:t>
            </w:r>
          </w:p>
        </w:tc>
        <w:tc>
          <w:tcPr>
            <w:tcW w:type="dxa" w:w="792"/>
            <w:vAlign w:val="center"/>
            <w:shd w:fill="EAF2F8"/>
          </w:tcPr>
          <w:p>
            <w:r/>
            <w:r>
              <w:rPr>
                <w:b w:val="0"/>
                <w:sz w:val="15"/>
              </w:rPr>
              <w:t>GIN</w:t>
            </w:r>
          </w:p>
        </w:tc>
        <w:tc>
          <w:tcPr>
            <w:tcW w:type="dxa" w:w="893"/>
            <w:vAlign w:val="center"/>
            <w:shd w:fill="EAF2F8"/>
          </w:tcPr>
          <w:p>
            <w:r/>
            <w:r>
              <w:rPr>
                <w:b w:val="0"/>
                <w:sz w:val="15"/>
              </w:rPr>
              <w:t>0.2941</w:t>
            </w:r>
          </w:p>
        </w:tc>
        <w:tc>
          <w:tcPr>
            <w:tcW w:type="dxa" w:w="1800"/>
            <w:vAlign w:val="center"/>
            <w:shd w:fill="EAF2F8"/>
          </w:tcPr>
          <w:p>
            <w:r/>
            <w:r>
              <w:rPr>
                <w:b w:val="0"/>
                <w:sz w:val="15"/>
              </w:rPr>
              <w:t>0.2555-0.3249</w:t>
            </w:r>
          </w:p>
        </w:tc>
        <w:tc>
          <w:tcPr>
            <w:tcW w:type="dxa" w:w="1512"/>
            <w:vAlign w:val="center"/>
            <w:shd w:fill="EAF2F8"/>
          </w:tcPr>
          <w:p>
            <w:r/>
            <w:r>
              <w:rPr>
                <w:b w:val="0"/>
                <w:sz w:val="15"/>
              </w:rPr>
              <w:t>10-15</w:t>
            </w:r>
          </w:p>
        </w:tc>
        <w:tc>
          <w:tcPr>
            <w:tcW w:type="dxa" w:w="893"/>
            <w:vAlign w:val="center"/>
            <w:shd w:fill="EAF2F8"/>
          </w:tcPr>
          <w:p>
            <w:r/>
            <w:r>
              <w:rPr>
                <w:b w:val="0"/>
                <w:sz w:val="15"/>
              </w:rPr>
              <w:t>0.2625</w:t>
            </w:r>
          </w:p>
        </w:tc>
        <w:tc>
          <w:tcPr>
            <w:tcW w:type="dxa" w:w="1037"/>
            <w:vAlign w:val="center"/>
            <w:shd w:fill="EAF2F8"/>
          </w:tcPr>
          <w:p>
            <w:r/>
            <w:r>
              <w:rPr>
                <w:b w:val="0"/>
                <w:sz w:val="15"/>
              </w:rPr>
              <w:t>12</w:t>
            </w:r>
          </w:p>
        </w:tc>
        <w:tc>
          <w:tcPr>
            <w:tcW w:type="dxa" w:w="1800"/>
            <w:vAlign w:val="center"/>
            <w:shd w:fill="EAF2F8"/>
          </w:tcPr>
          <w:p>
            <w:r/>
            <w:r>
              <w:rPr>
                <w:b w:val="0"/>
                <w:sz w:val="15"/>
              </w:rPr>
              <w:t>0.2177-0.2993</w:t>
            </w:r>
          </w:p>
        </w:tc>
      </w:tr>
      <w:tr>
        <w:trPr>
          <w:cantSplit/>
        </w:trPr>
        <w:tc>
          <w:tcPr>
            <w:tcW w:type="dxa" w:w="835"/>
            <w:vAlign w:val="center"/>
          </w:tcPr>
          <w:p>
            <w:r/>
            <w:r>
              <w:rPr>
                <w:b w:val="0"/>
                <w:sz w:val="15"/>
              </w:rPr>
              <w:t>13</w:t>
            </w:r>
          </w:p>
        </w:tc>
        <w:tc>
          <w:tcPr>
            <w:tcW w:type="dxa" w:w="2088"/>
            <w:vAlign w:val="center"/>
          </w:tcPr>
          <w:p>
            <w:r/>
            <w:r>
              <w:rPr>
                <w:b w:val="0"/>
                <w:sz w:val="15"/>
              </w:rPr>
              <w:t>Nigeria</w:t>
            </w:r>
          </w:p>
        </w:tc>
        <w:tc>
          <w:tcPr>
            <w:tcW w:type="dxa" w:w="792"/>
            <w:vAlign w:val="center"/>
          </w:tcPr>
          <w:p>
            <w:r/>
            <w:r>
              <w:rPr>
                <w:b w:val="0"/>
                <w:sz w:val="15"/>
              </w:rPr>
              <w:t>NGA</w:t>
            </w:r>
          </w:p>
        </w:tc>
        <w:tc>
          <w:tcPr>
            <w:tcW w:type="dxa" w:w="893"/>
            <w:vAlign w:val="center"/>
          </w:tcPr>
          <w:p>
            <w:r/>
            <w:r>
              <w:rPr>
                <w:b w:val="0"/>
                <w:sz w:val="15"/>
              </w:rPr>
              <w:t>0.2906</w:t>
            </w:r>
          </w:p>
        </w:tc>
        <w:tc>
          <w:tcPr>
            <w:tcW w:type="dxa" w:w="1800"/>
            <w:vAlign w:val="center"/>
          </w:tcPr>
          <w:p>
            <w:r/>
            <w:r>
              <w:rPr>
                <w:b w:val="0"/>
                <w:sz w:val="15"/>
              </w:rPr>
              <w:t>0.2482-0.3241</w:t>
            </w:r>
          </w:p>
        </w:tc>
        <w:tc>
          <w:tcPr>
            <w:tcW w:type="dxa" w:w="1512"/>
            <w:vAlign w:val="center"/>
          </w:tcPr>
          <w:p>
            <w:r/>
            <w:r>
              <w:rPr>
                <w:b w:val="0"/>
                <w:sz w:val="15"/>
              </w:rPr>
              <w:t>10-15</w:t>
            </w:r>
          </w:p>
        </w:tc>
        <w:tc>
          <w:tcPr>
            <w:tcW w:type="dxa" w:w="893"/>
            <w:vAlign w:val="center"/>
          </w:tcPr>
          <w:p>
            <w:r/>
            <w:r>
              <w:rPr>
                <w:b w:val="0"/>
                <w:sz w:val="15"/>
              </w:rPr>
              <w:t>0.2587</w:t>
            </w:r>
          </w:p>
        </w:tc>
        <w:tc>
          <w:tcPr>
            <w:tcW w:type="dxa" w:w="1037"/>
            <w:vAlign w:val="center"/>
          </w:tcPr>
          <w:p>
            <w:r/>
            <w:r>
              <w:rPr>
                <w:b w:val="0"/>
                <w:sz w:val="15"/>
              </w:rPr>
              <w:t>13</w:t>
            </w:r>
          </w:p>
        </w:tc>
        <w:tc>
          <w:tcPr>
            <w:tcW w:type="dxa" w:w="1800"/>
            <w:vAlign w:val="center"/>
          </w:tcPr>
          <w:p>
            <w:r/>
            <w:r>
              <w:rPr>
                <w:b w:val="0"/>
                <w:sz w:val="15"/>
              </w:rPr>
              <w:t>0.2101-0.2971</w:t>
            </w:r>
          </w:p>
        </w:tc>
      </w:tr>
      <w:tr>
        <w:trPr>
          <w:cantSplit/>
        </w:trPr>
        <w:tc>
          <w:tcPr>
            <w:tcW w:type="dxa" w:w="835"/>
            <w:vAlign w:val="center"/>
            <w:shd w:fill="EAF2F8"/>
          </w:tcPr>
          <w:p>
            <w:r/>
            <w:r>
              <w:rPr>
                <w:b w:val="0"/>
                <w:sz w:val="15"/>
              </w:rPr>
              <w:t>14</w:t>
            </w:r>
          </w:p>
        </w:tc>
        <w:tc>
          <w:tcPr>
            <w:tcW w:type="dxa" w:w="2088"/>
            <w:vAlign w:val="center"/>
            <w:shd w:fill="EAF2F8"/>
          </w:tcPr>
          <w:p>
            <w:r/>
            <w:r>
              <w:rPr>
                <w:b w:val="0"/>
                <w:sz w:val="15"/>
              </w:rPr>
              <w:t>Zimbabwe</w:t>
            </w:r>
          </w:p>
        </w:tc>
        <w:tc>
          <w:tcPr>
            <w:tcW w:type="dxa" w:w="792"/>
            <w:vAlign w:val="center"/>
            <w:shd w:fill="EAF2F8"/>
          </w:tcPr>
          <w:p>
            <w:r/>
            <w:r>
              <w:rPr>
                <w:b w:val="0"/>
                <w:sz w:val="15"/>
              </w:rPr>
              <w:t>ZWE</w:t>
            </w:r>
          </w:p>
        </w:tc>
        <w:tc>
          <w:tcPr>
            <w:tcW w:type="dxa" w:w="893"/>
            <w:vAlign w:val="center"/>
            <w:shd w:fill="EAF2F8"/>
          </w:tcPr>
          <w:p>
            <w:r/>
            <w:r>
              <w:rPr>
                <w:b w:val="0"/>
                <w:sz w:val="15"/>
              </w:rPr>
              <w:t>0.2743</w:t>
            </w:r>
          </w:p>
        </w:tc>
        <w:tc>
          <w:tcPr>
            <w:tcW w:type="dxa" w:w="1800"/>
            <w:vAlign w:val="center"/>
            <w:shd w:fill="EAF2F8"/>
          </w:tcPr>
          <w:p>
            <w:r/>
            <w:r>
              <w:rPr>
                <w:b w:val="0"/>
                <w:sz w:val="15"/>
              </w:rPr>
              <w:t>0.2354-0.3052</w:t>
            </w:r>
          </w:p>
        </w:tc>
        <w:tc>
          <w:tcPr>
            <w:tcW w:type="dxa" w:w="1512"/>
            <w:vAlign w:val="center"/>
            <w:shd w:fill="EAF2F8"/>
          </w:tcPr>
          <w:p>
            <w:r/>
            <w:r>
              <w:rPr>
                <w:b w:val="0"/>
                <w:sz w:val="15"/>
              </w:rPr>
              <w:t>11-15</w:t>
            </w:r>
          </w:p>
        </w:tc>
        <w:tc>
          <w:tcPr>
            <w:tcW w:type="dxa" w:w="893"/>
            <w:vAlign w:val="center"/>
            <w:shd w:fill="EAF2F8"/>
          </w:tcPr>
          <w:p>
            <w:r/>
            <w:r>
              <w:rPr>
                <w:b w:val="0"/>
                <w:sz w:val="15"/>
              </w:rPr>
              <w:t>0.2431</w:t>
            </w:r>
          </w:p>
        </w:tc>
        <w:tc>
          <w:tcPr>
            <w:tcW w:type="dxa" w:w="1037"/>
            <w:vAlign w:val="center"/>
            <w:shd w:fill="EAF2F8"/>
          </w:tcPr>
          <w:p>
            <w:r/>
            <w:r>
              <w:rPr>
                <w:b w:val="0"/>
                <w:sz w:val="15"/>
              </w:rPr>
              <w:t>14</w:t>
            </w:r>
          </w:p>
        </w:tc>
        <w:tc>
          <w:tcPr>
            <w:tcW w:type="dxa" w:w="1800"/>
            <w:vAlign w:val="center"/>
            <w:shd w:fill="EAF2F8"/>
          </w:tcPr>
          <w:p>
            <w:r/>
            <w:r>
              <w:rPr>
                <w:b w:val="0"/>
                <w:sz w:val="15"/>
              </w:rPr>
              <w:t>0.1977-0.2797</w:t>
            </w:r>
          </w:p>
        </w:tc>
      </w:tr>
      <w:tr>
        <w:trPr>
          <w:cantSplit/>
        </w:trPr>
        <w:tc>
          <w:tcPr>
            <w:tcW w:type="dxa" w:w="835"/>
            <w:vAlign w:val="center"/>
          </w:tcPr>
          <w:p>
            <w:r/>
            <w:r>
              <w:rPr>
                <w:b w:val="0"/>
                <w:sz w:val="15"/>
              </w:rPr>
              <w:t>15</w:t>
            </w:r>
          </w:p>
        </w:tc>
        <w:tc>
          <w:tcPr>
            <w:tcW w:type="dxa" w:w="2088"/>
            <w:vAlign w:val="center"/>
          </w:tcPr>
          <w:p>
            <w:r/>
            <w:r>
              <w:rPr>
                <w:b w:val="0"/>
                <w:sz w:val="15"/>
              </w:rPr>
              <w:t>Mali</w:t>
            </w:r>
          </w:p>
        </w:tc>
        <w:tc>
          <w:tcPr>
            <w:tcW w:type="dxa" w:w="792"/>
            <w:vAlign w:val="center"/>
          </w:tcPr>
          <w:p>
            <w:r/>
            <w:r>
              <w:rPr>
                <w:b w:val="0"/>
                <w:sz w:val="15"/>
              </w:rPr>
              <w:t>MLI</w:t>
            </w:r>
          </w:p>
        </w:tc>
        <w:tc>
          <w:tcPr>
            <w:tcW w:type="dxa" w:w="893"/>
            <w:vAlign w:val="center"/>
          </w:tcPr>
          <w:p>
            <w:r/>
            <w:r>
              <w:rPr>
                <w:b w:val="0"/>
                <w:sz w:val="15"/>
              </w:rPr>
              <w:t>0.2540</w:t>
            </w:r>
          </w:p>
        </w:tc>
        <w:tc>
          <w:tcPr>
            <w:tcW w:type="dxa" w:w="1800"/>
            <w:vAlign w:val="center"/>
          </w:tcPr>
          <w:p>
            <w:r/>
            <w:r>
              <w:rPr>
                <w:b w:val="0"/>
                <w:sz w:val="15"/>
              </w:rPr>
              <w:t>0.2079-0.2890</w:t>
            </w:r>
          </w:p>
        </w:tc>
        <w:tc>
          <w:tcPr>
            <w:tcW w:type="dxa" w:w="1512"/>
            <w:vAlign w:val="center"/>
          </w:tcPr>
          <w:p>
            <w:r/>
            <w:r>
              <w:rPr>
                <w:b w:val="0"/>
                <w:sz w:val="15"/>
              </w:rPr>
              <w:t>12-16</w:t>
            </w:r>
          </w:p>
        </w:tc>
        <w:tc>
          <w:tcPr>
            <w:tcW w:type="dxa" w:w="893"/>
            <w:vAlign w:val="center"/>
          </w:tcPr>
          <w:p>
            <w:r/>
            <w:r>
              <w:rPr>
                <w:b w:val="0"/>
                <w:sz w:val="15"/>
              </w:rPr>
              <w:t>0.2234</w:t>
            </w:r>
          </w:p>
        </w:tc>
        <w:tc>
          <w:tcPr>
            <w:tcW w:type="dxa" w:w="1037"/>
            <w:vAlign w:val="center"/>
          </w:tcPr>
          <w:p>
            <w:r/>
            <w:r>
              <w:rPr>
                <w:b w:val="0"/>
                <w:sz w:val="15"/>
              </w:rPr>
              <w:t>15</w:t>
            </w:r>
          </w:p>
        </w:tc>
        <w:tc>
          <w:tcPr>
            <w:tcW w:type="dxa" w:w="1800"/>
            <w:vAlign w:val="center"/>
          </w:tcPr>
          <w:p>
            <w:r/>
            <w:r>
              <w:rPr>
                <w:b w:val="0"/>
                <w:sz w:val="15"/>
              </w:rPr>
              <w:t>0.1718-0.2644</w:t>
            </w:r>
          </w:p>
        </w:tc>
      </w:tr>
      <w:tr>
        <w:trPr>
          <w:cantSplit/>
        </w:trPr>
        <w:tc>
          <w:tcPr>
            <w:tcW w:type="dxa" w:w="835"/>
            <w:vAlign w:val="center"/>
            <w:shd w:fill="EAF2F8"/>
          </w:tcPr>
          <w:p>
            <w:r/>
            <w:r>
              <w:rPr>
                <w:b w:val="0"/>
                <w:sz w:val="15"/>
              </w:rPr>
              <w:t>16</w:t>
            </w:r>
          </w:p>
        </w:tc>
        <w:tc>
          <w:tcPr>
            <w:tcW w:type="dxa" w:w="2088"/>
            <w:vAlign w:val="center"/>
            <w:shd w:fill="EAF2F8"/>
          </w:tcPr>
          <w:p>
            <w:r/>
            <w:r>
              <w:rPr>
                <w:b w:val="0"/>
                <w:sz w:val="15"/>
              </w:rPr>
              <w:t>Congo, Dem. Rep.</w:t>
            </w:r>
          </w:p>
        </w:tc>
        <w:tc>
          <w:tcPr>
            <w:tcW w:type="dxa" w:w="792"/>
            <w:vAlign w:val="center"/>
            <w:shd w:fill="EAF2F8"/>
          </w:tcPr>
          <w:p>
            <w:r/>
            <w:r>
              <w:rPr>
                <w:b w:val="0"/>
                <w:sz w:val="15"/>
              </w:rPr>
              <w:t>COD</w:t>
            </w:r>
          </w:p>
        </w:tc>
        <w:tc>
          <w:tcPr>
            <w:tcW w:type="dxa" w:w="893"/>
            <w:vAlign w:val="center"/>
            <w:shd w:fill="EAF2F8"/>
          </w:tcPr>
          <w:p>
            <w:r/>
            <w:r>
              <w:rPr>
                <w:b w:val="0"/>
                <w:sz w:val="15"/>
              </w:rPr>
              <w:t>0.2020</w:t>
            </w:r>
          </w:p>
        </w:tc>
        <w:tc>
          <w:tcPr>
            <w:tcW w:type="dxa" w:w="1800"/>
            <w:vAlign w:val="center"/>
            <w:shd w:fill="EAF2F8"/>
          </w:tcPr>
          <w:p>
            <w:r/>
            <w:r>
              <w:rPr>
                <w:b w:val="0"/>
                <w:sz w:val="15"/>
              </w:rPr>
              <w:t>0.1602-0.2348</w:t>
            </w:r>
          </w:p>
        </w:tc>
        <w:tc>
          <w:tcPr>
            <w:tcW w:type="dxa" w:w="1512"/>
            <w:vAlign w:val="center"/>
            <w:shd w:fill="EAF2F8"/>
          </w:tcPr>
          <w:p>
            <w:r/>
            <w:r>
              <w:rPr>
                <w:b w:val="0"/>
                <w:sz w:val="15"/>
              </w:rPr>
              <w:t>15-16</w:t>
            </w:r>
          </w:p>
        </w:tc>
        <w:tc>
          <w:tcPr>
            <w:tcW w:type="dxa" w:w="893"/>
            <w:vAlign w:val="center"/>
            <w:shd w:fill="EAF2F8"/>
          </w:tcPr>
          <w:p>
            <w:r/>
            <w:r>
              <w:rPr>
                <w:b w:val="0"/>
                <w:sz w:val="15"/>
              </w:rPr>
              <w:t>0.1730</w:t>
            </w:r>
          </w:p>
        </w:tc>
        <w:tc>
          <w:tcPr>
            <w:tcW w:type="dxa" w:w="1037"/>
            <w:vAlign w:val="center"/>
            <w:shd w:fill="EAF2F8"/>
          </w:tcPr>
          <w:p>
            <w:r/>
            <w:r>
              <w:rPr>
                <w:b w:val="0"/>
                <w:sz w:val="15"/>
              </w:rPr>
              <w:t>16</w:t>
            </w:r>
          </w:p>
        </w:tc>
        <w:tc>
          <w:tcPr>
            <w:tcW w:type="dxa" w:w="1800"/>
            <w:vAlign w:val="center"/>
            <w:shd w:fill="EAF2F8"/>
          </w:tcPr>
          <w:p>
            <w:r/>
            <w:r>
              <w:rPr>
                <w:b w:val="0"/>
                <w:sz w:val="15"/>
              </w:rPr>
              <w:t>0.1273-0.2099</w:t>
            </w:r>
          </w:p>
        </w:tc>
      </w:tr>
    </w:tbl>
    <w:p/>
    <w:p>
      <w:r>
        <w:t>Interpretation: the point ranking is descriptive. Botswana is first and the Democratic Republic of Congo is last in the 2024 study sample, but several middle-country measurement-based rank intervals overlap. Policy conclusions should therefore emphasize profiles and broad tiers, not small rank gaps.</w:t>
      </w:r>
    </w:p>
    <w:p>
      <w:pPr>
        <w:pStyle w:val="Heading1"/>
      </w:pPr>
      <w:r>
        <w:t>Candidate Table 9</w:t>
      </w:r>
    </w:p>
    <w:p>
      <w:r>
        <w:t>Suggested title: Robustness, Construct Diagnostics and External Validation of the Six-Dimension Governance Coherence Layer.</w:t>
      </w:r>
    </w:p>
    <w:tbl>
      <w:tblPr>
        <w:tblStyle w:val="TableGrid"/>
        <w:tblW w:type="auto" w:w="0"/>
        <w:tblLayout w:type="fixed"/>
        <w:tblLook w:firstColumn="1" w:firstRow="1" w:lastColumn="0" w:lastRow="0" w:noHBand="0" w:noVBand="1" w:val="04A0"/>
      </w:tblPr>
      <w:tblGrid>
        <w:gridCol w:w="3564"/>
        <w:gridCol w:w="3564"/>
        <w:gridCol w:w="3564"/>
        <w:gridCol w:w="3564"/>
      </w:tblGrid>
      <w:tr>
        <w:trPr>
          <w:tblHeader w:val="true"/>
        </w:trPr>
        <w:tc>
          <w:tcPr>
            <w:tcW w:type="dxa" w:w="1800"/>
            <w:vAlign w:val="center"/>
            <w:shd w:fill="1F4E78"/>
          </w:tcPr>
          <w:p>
            <w:r/>
            <w:r>
              <w:rPr>
                <w:b/>
                <w:color w:val="FFFFFF"/>
                <w:sz w:val="15"/>
              </w:rPr>
              <w:t>Evidence block</w:t>
            </w:r>
          </w:p>
        </w:tc>
        <w:tc>
          <w:tcPr>
            <w:tcW w:type="dxa" w:w="2880"/>
            <w:vAlign w:val="center"/>
            <w:shd w:fill="1F4E78"/>
          </w:tcPr>
          <w:p>
            <w:r/>
            <w:r>
              <w:rPr>
                <w:b/>
                <w:color w:val="FFFFFF"/>
                <w:sz w:val="15"/>
              </w:rPr>
              <w:t>Test</w:t>
            </w:r>
          </w:p>
        </w:tc>
        <w:tc>
          <w:tcPr>
            <w:tcW w:type="dxa" w:w="4320"/>
            <w:vAlign w:val="center"/>
            <w:shd w:fill="1F4E78"/>
          </w:tcPr>
          <w:p>
            <w:r/>
            <w:r>
              <w:rPr>
                <w:b/>
                <w:color w:val="FFFFFF"/>
                <w:sz w:val="15"/>
              </w:rPr>
              <w:t>Result</w:t>
            </w:r>
          </w:p>
        </w:tc>
        <w:tc>
          <w:tcPr>
            <w:tcW w:type="dxa" w:w="5328"/>
            <w:vAlign w:val="center"/>
            <w:shd w:fill="1F4E78"/>
          </w:tcPr>
          <w:p>
            <w:r/>
            <w:r>
              <w:rPr>
                <w:b/>
                <w:color w:val="FFFFFF"/>
                <w:sz w:val="15"/>
              </w:rPr>
              <w:t>Interpretation</w:t>
            </w:r>
          </w:p>
        </w:tc>
      </w:tr>
      <w:tr>
        <w:trPr>
          <w:cantSplit/>
        </w:trPr>
        <w:tc>
          <w:tcPr>
            <w:tcW w:type="dxa" w:w="1800"/>
            <w:vAlign w:val="center"/>
          </w:tcPr>
          <w:p>
            <w:r/>
            <w:r>
              <w:rPr>
                <w:b w:val="0"/>
                <w:sz w:val="15"/>
              </w:rPr>
              <w:t>Alternative weighting</w:t>
            </w:r>
          </w:p>
        </w:tc>
        <w:tc>
          <w:tcPr>
            <w:tcW w:type="dxa" w:w="2880"/>
            <w:vAlign w:val="center"/>
          </w:tcPr>
          <w:p>
            <w:r/>
            <w:r>
              <w:rPr>
                <w:b w:val="0"/>
                <w:sz w:val="15"/>
              </w:rPr>
              <w:t>PCA absolute-loading weights vs uniform</w:t>
            </w:r>
          </w:p>
        </w:tc>
        <w:tc>
          <w:tcPr>
            <w:tcW w:type="dxa" w:w="4320"/>
            <w:vAlign w:val="center"/>
          </w:tcPr>
          <w:p>
            <w:r/>
            <w:r>
              <w:rPr>
                <w:b w:val="0"/>
                <w:sz w:val="15"/>
              </w:rPr>
              <w:t>PCI rho=1.000; RPCI rho=1.000; mean |PCI diff|=0.0010</w:t>
            </w:r>
          </w:p>
        </w:tc>
        <w:tc>
          <w:tcPr>
            <w:tcW w:type="dxa" w:w="5328"/>
            <w:vAlign w:val="center"/>
          </w:tcPr>
          <w:p>
            <w:r/>
            <w:r>
              <w:rPr>
                <w:b w:val="0"/>
                <w:sz w:val="15"/>
              </w:rPr>
              <w:t>Rank ordering is highly stable; uniform weighting remains the transparent primary specification.</w:t>
            </w:r>
          </w:p>
        </w:tc>
      </w:tr>
      <w:tr>
        <w:trPr>
          <w:cantSplit/>
        </w:trPr>
        <w:tc>
          <w:tcPr>
            <w:tcW w:type="dxa" w:w="1800"/>
            <w:vAlign w:val="center"/>
            <w:shd w:fill="EAF2F8"/>
          </w:tcPr>
          <w:p>
            <w:r/>
            <w:r>
              <w:rPr>
                <w:b w:val="0"/>
                <w:sz w:val="15"/>
              </w:rPr>
              <w:t>Alternative weighting</w:t>
            </w:r>
          </w:p>
        </w:tc>
        <w:tc>
          <w:tcPr>
            <w:tcW w:type="dxa" w:w="2880"/>
            <w:vAlign w:val="center"/>
            <w:shd w:fill="EAF2F8"/>
          </w:tcPr>
          <w:p>
            <w:r/>
            <w:r>
              <w:rPr>
                <w:b w:val="0"/>
                <w:sz w:val="15"/>
              </w:rPr>
              <w:t>Entropy weights vs uniform</w:t>
            </w:r>
          </w:p>
        </w:tc>
        <w:tc>
          <w:tcPr>
            <w:tcW w:type="dxa" w:w="4320"/>
            <w:vAlign w:val="center"/>
            <w:shd w:fill="EAF2F8"/>
          </w:tcPr>
          <w:p>
            <w:r/>
            <w:r>
              <w:rPr>
                <w:b w:val="0"/>
                <w:sz w:val="15"/>
              </w:rPr>
              <w:t>PCI rho=0.994; RPCI rho=0.994; mean |PCI diff|=0.0171</w:t>
            </w:r>
          </w:p>
        </w:tc>
        <w:tc>
          <w:tcPr>
            <w:tcW w:type="dxa" w:w="5328"/>
            <w:vAlign w:val="center"/>
            <w:shd w:fill="EAF2F8"/>
          </w:tcPr>
          <w:p>
            <w:r/>
            <w:r>
              <w:rPr>
                <w:b w:val="0"/>
                <w:sz w:val="15"/>
              </w:rPr>
              <w:t>Rank ordering is highly stable; uniform weighting remains the transparent primary specification.</w:t>
            </w:r>
          </w:p>
        </w:tc>
      </w:tr>
      <w:tr>
        <w:trPr>
          <w:cantSplit/>
        </w:trPr>
        <w:tc>
          <w:tcPr>
            <w:tcW w:type="dxa" w:w="1800"/>
            <w:vAlign w:val="center"/>
          </w:tcPr>
          <w:p>
            <w:r/>
            <w:r>
              <w:rPr>
                <w:b w:val="0"/>
                <w:sz w:val="15"/>
              </w:rPr>
              <w:t>Alternative weighting</w:t>
            </w:r>
          </w:p>
        </w:tc>
        <w:tc>
          <w:tcPr>
            <w:tcW w:type="dxa" w:w="2880"/>
            <w:vAlign w:val="center"/>
          </w:tcPr>
          <w:p>
            <w:r/>
            <w:r>
              <w:rPr>
                <w:b w:val="0"/>
                <w:sz w:val="15"/>
              </w:rPr>
              <w:t>Fraser-correlation weights vs uniform</w:t>
            </w:r>
          </w:p>
        </w:tc>
        <w:tc>
          <w:tcPr>
            <w:tcW w:type="dxa" w:w="4320"/>
            <w:vAlign w:val="center"/>
          </w:tcPr>
          <w:p>
            <w:r/>
            <w:r>
              <w:rPr>
                <w:b w:val="0"/>
                <w:sz w:val="15"/>
              </w:rPr>
              <w:t>PCI rho=1.000; RPCI rho=1.000; mean |PCI diff|=0.0012</w:t>
            </w:r>
          </w:p>
        </w:tc>
        <w:tc>
          <w:tcPr>
            <w:tcW w:type="dxa" w:w="5328"/>
            <w:vAlign w:val="center"/>
          </w:tcPr>
          <w:p>
            <w:r/>
            <w:r>
              <w:rPr>
                <w:b w:val="0"/>
                <w:sz w:val="15"/>
              </w:rPr>
              <w:t>Rank ordering is highly stable; uniform weighting remains the transparent primary specification.</w:t>
            </w:r>
          </w:p>
        </w:tc>
      </w:tr>
      <w:tr>
        <w:trPr>
          <w:cantSplit/>
        </w:trPr>
        <w:tc>
          <w:tcPr>
            <w:tcW w:type="dxa" w:w="1800"/>
            <w:vAlign w:val="center"/>
            <w:shd w:fill="EAF2F8"/>
          </w:tcPr>
          <w:p>
            <w:r/>
            <w:r>
              <w:rPr>
                <w:b w:val="0"/>
                <w:sz w:val="15"/>
              </w:rPr>
              <w:t>Weight uncertainty</w:t>
            </w:r>
          </w:p>
        </w:tc>
        <w:tc>
          <w:tcPr>
            <w:tcW w:type="dxa" w:w="2880"/>
            <w:vAlign w:val="center"/>
            <w:shd w:fill="EAF2F8"/>
          </w:tcPr>
          <w:p>
            <w:r/>
            <w:r>
              <w:rPr>
                <w:b w:val="0"/>
                <w:sz w:val="15"/>
              </w:rPr>
              <w:t>10,000 Dirichlet weight perturbations</w:t>
            </w:r>
          </w:p>
        </w:tc>
        <w:tc>
          <w:tcPr>
            <w:tcW w:type="dxa" w:w="4320"/>
            <w:vAlign w:val="center"/>
            <w:shd w:fill="EAF2F8"/>
          </w:tcPr>
          <w:p>
            <w:r/>
            <w:r>
              <w:rPr>
                <w:b w:val="0"/>
                <w:sz w:val="15"/>
              </w:rPr>
              <w:t>PCI rank rho median=0.997 (2.5%=0.991); RPCI median=0.994 (2.5%=0.988)</w:t>
            </w:r>
          </w:p>
        </w:tc>
        <w:tc>
          <w:tcPr>
            <w:tcW w:type="dxa" w:w="5328"/>
            <w:vAlign w:val="center"/>
            <w:shd w:fill="EAF2F8"/>
          </w:tcPr>
          <w:p>
            <w:r/>
            <w:r>
              <w:rPr>
                <w:b w:val="0"/>
                <w:sz w:val="15"/>
              </w:rPr>
              <w:t>Rank conclusions are robust to broad symmetric weight perturbation.</w:t>
            </w:r>
          </w:p>
        </w:tc>
      </w:tr>
      <w:tr>
        <w:trPr>
          <w:cantSplit/>
        </w:trPr>
        <w:tc>
          <w:tcPr>
            <w:tcW w:type="dxa" w:w="1800"/>
            <w:vAlign w:val="center"/>
          </w:tcPr>
          <w:p>
            <w:r/>
            <w:r>
              <w:rPr>
                <w:b w:val="0"/>
                <w:sz w:val="15"/>
              </w:rPr>
              <w:t>Mining convergent validity</w:t>
            </w:r>
          </w:p>
        </w:tc>
        <w:tc>
          <w:tcPr>
            <w:tcW w:type="dxa" w:w="2880"/>
            <w:vAlign w:val="center"/>
          </w:tcPr>
          <w:p>
            <w:r/>
            <w:r>
              <w:rPr>
                <w:b w:val="0"/>
                <w:sz w:val="15"/>
              </w:rPr>
              <w:t>WGI governance mean vs Fraser PPI, 2019-2024</w:t>
            </w:r>
          </w:p>
        </w:tc>
        <w:tc>
          <w:tcPr>
            <w:tcW w:type="dxa" w:w="4320"/>
            <w:vAlign w:val="center"/>
          </w:tcPr>
          <w:p>
            <w:r/>
            <w:r>
              <w:rPr>
                <w:b w:val="0"/>
                <w:sz w:val="15"/>
              </w:rPr>
              <w:t>Spearman rho=0.715; country-cluster bootstrap 95% CI 0.437-0.848; n=70, 14 countries</w:t>
            </w:r>
          </w:p>
        </w:tc>
        <w:tc>
          <w:tcPr>
            <w:tcW w:type="dxa" w:w="5328"/>
            <w:vAlign w:val="center"/>
          </w:tcPr>
          <w:p>
            <w:r/>
            <w:r>
              <w:rPr>
                <w:b w:val="0"/>
                <w:sz w:val="15"/>
              </w:rPr>
              <w:t>Strong association with a mining-specific policy-perception benchmark; not causal validation.</w:t>
            </w:r>
          </w:p>
        </w:tc>
      </w:tr>
      <w:tr>
        <w:trPr>
          <w:cantSplit/>
        </w:trPr>
        <w:tc>
          <w:tcPr>
            <w:tcW w:type="dxa" w:w="1800"/>
            <w:vAlign w:val="center"/>
            <w:shd w:fill="EAF2F8"/>
          </w:tcPr>
          <w:p>
            <w:r/>
            <w:r>
              <w:rPr>
                <w:b w:val="0"/>
                <w:sz w:val="15"/>
              </w:rPr>
              <w:t>Mining out-of-country validation</w:t>
            </w:r>
          </w:p>
        </w:tc>
        <w:tc>
          <w:tcPr>
            <w:tcW w:type="dxa" w:w="2880"/>
            <w:vAlign w:val="center"/>
            <w:shd w:fill="EAF2F8"/>
          </w:tcPr>
          <w:p>
            <w:r/>
            <w:r>
              <w:rPr>
                <w:b w:val="0"/>
                <w:sz w:val="15"/>
              </w:rPr>
              <w:t>Nested leave-one-country-out Ridge prediction of Fraser PPI</w:t>
            </w:r>
          </w:p>
        </w:tc>
        <w:tc>
          <w:tcPr>
            <w:tcW w:type="dxa" w:w="4320"/>
            <w:vAlign w:val="center"/>
            <w:shd w:fill="EAF2F8"/>
          </w:tcPr>
          <w:p>
            <w:r/>
            <w:r>
              <w:rPr>
                <w:b w:val="0"/>
                <w:sz w:val="15"/>
              </w:rPr>
              <w:t>R2=0.336; MAE=15.70; Spearman rho=0.602</w:t>
            </w:r>
          </w:p>
        </w:tc>
        <w:tc>
          <w:tcPr>
            <w:tcW w:type="dxa" w:w="5328"/>
            <w:vAlign w:val="center"/>
            <w:shd w:fill="EAF2F8"/>
          </w:tcPr>
          <w:p>
            <w:r/>
            <w:r>
              <w:rPr>
                <w:b w:val="0"/>
                <w:sz w:val="15"/>
              </w:rPr>
              <w:t>Moderate out-of-country generalisation; coefficients are not used as primary weights because dimensions are collinear.</w:t>
            </w:r>
          </w:p>
        </w:tc>
      </w:tr>
      <w:tr>
        <w:trPr>
          <w:cantSplit/>
        </w:trPr>
        <w:tc>
          <w:tcPr>
            <w:tcW w:type="dxa" w:w="1800"/>
            <w:vAlign w:val="center"/>
          </w:tcPr>
          <w:p>
            <w:r/>
            <w:r>
              <w:rPr>
                <w:b w:val="0"/>
                <w:sz w:val="15"/>
              </w:rPr>
              <w:t>Falsification / discriminant boundary</w:t>
            </w:r>
          </w:p>
        </w:tc>
        <w:tc>
          <w:tcPr>
            <w:tcW w:type="dxa" w:w="2880"/>
            <w:vAlign w:val="center"/>
          </w:tcPr>
          <w:p>
            <w:r/>
            <w:r>
              <w:rPr>
                <w:b w:val="0"/>
                <w:sz w:val="15"/>
              </w:rPr>
              <w:t>Governance plus controls vs controls for next-year general FDI</w:t>
            </w:r>
          </w:p>
        </w:tc>
        <w:tc>
          <w:tcPr>
            <w:tcW w:type="dxa" w:w="4320"/>
            <w:vAlign w:val="center"/>
          </w:tcPr>
          <w:p>
            <w:r/>
            <w:r>
              <w:rPr>
                <w:b w:val="0"/>
                <w:sz w:val="15"/>
              </w:rPr>
              <w:t>Incremental MAE improvement=-0.0067; country-cluster bootstrap 95% CI -0.0301 to 0.0160; P(improvement)=0.291</w:t>
            </w:r>
          </w:p>
        </w:tc>
        <w:tc>
          <w:tcPr>
            <w:tcW w:type="dxa" w:w="5328"/>
            <w:vAlign w:val="center"/>
          </w:tcPr>
          <w:p>
            <w:r/>
            <w:r>
              <w:rPr>
                <w:b w:val="0"/>
                <w:sz w:val="15"/>
              </w:rPr>
              <w:t>No reliable predictive gain. General FDI is rejected as the success target for this governance layer.</w:t>
            </w:r>
          </w:p>
        </w:tc>
      </w:tr>
      <w:tr>
        <w:trPr>
          <w:cantSplit/>
        </w:trPr>
        <w:tc>
          <w:tcPr>
            <w:tcW w:type="dxa" w:w="1800"/>
            <w:vAlign w:val="center"/>
            <w:shd w:fill="EAF2F8"/>
          </w:tcPr>
          <w:p>
            <w:r/>
            <w:r>
              <w:rPr>
                <w:b w:val="0"/>
                <w:sz w:val="15"/>
              </w:rPr>
              <w:t>Construct diagnostics</w:t>
            </w:r>
          </w:p>
        </w:tc>
        <w:tc>
          <w:tcPr>
            <w:tcW w:type="dxa" w:w="2880"/>
            <w:vAlign w:val="center"/>
            <w:shd w:fill="EAF2F8"/>
          </w:tcPr>
          <w:p>
            <w:r/>
            <w:r>
              <w:rPr>
                <w:b w:val="0"/>
                <w:sz w:val="15"/>
              </w:rPr>
              <w:t>Six WGI dimensions, pooled 2002-2024</w:t>
            </w:r>
          </w:p>
        </w:tc>
        <w:tc>
          <w:tcPr>
            <w:tcW w:type="dxa" w:w="4320"/>
            <w:vAlign w:val="center"/>
            <w:shd w:fill="EAF2F8"/>
          </w:tcPr>
          <w:p>
            <w:r/>
            <w:r>
              <w:rPr>
                <w:b w:val="0"/>
                <w:sz w:val="15"/>
              </w:rPr>
              <w:t>Cronbach alpha=0.969; PC1=0.886; max VIF=23.12</w:t>
            </w:r>
          </w:p>
        </w:tc>
        <w:tc>
          <w:tcPr>
            <w:tcW w:type="dxa" w:w="5328"/>
            <w:vAlign w:val="center"/>
            <w:shd w:fill="EAF2F8"/>
          </w:tcPr>
          <w:p>
            <w:r/>
            <w:r>
              <w:rPr>
                <w:b w:val="0"/>
                <w:sz w:val="15"/>
              </w:rPr>
              <w:t>Strong shared governance signal and high collinearity; this supports parsimonious aggregation but not unidimensionality or causal attribution.</w:t>
            </w:r>
          </w:p>
        </w:tc>
      </w:tr>
    </w:tbl>
    <w:p/>
    <w:p>
      <w:pPr>
        <w:pStyle w:val="Heading1"/>
      </w:pPr>
      <w:r>
        <w:t>Novelty claim: what can and cannot be said</w:t>
      </w:r>
    </w:p>
    <w:p>
      <w:r>
        <w:t>Defensible proposed contribution: an uncertainty-aware, construct-separated six-dimensional governance-coherence layer for mineral-investment screening, supported by leakage-free mining-specific validation, explicit falsification against general FDI, and reproducible temporal, rank and weighting stress tests. The novelty is the disciplined integration and validation protocol, not any single component.</w:t>
      </w:r>
    </w:p>
    <w:tbl>
      <w:tblPr>
        <w:tblStyle w:val="TableGrid"/>
        <w:tblW w:type="auto" w:w="0"/>
        <w:tblLayout w:type="fixed"/>
        <w:tblLook w:firstColumn="1" w:firstRow="1" w:lastColumn="0" w:lastRow="0" w:noHBand="0" w:noVBand="1" w:val="04A0"/>
      </w:tblPr>
      <w:tblGrid>
        <w:gridCol w:w="4752"/>
        <w:gridCol w:w="4752"/>
        <w:gridCol w:w="4752"/>
      </w:tblGrid>
      <w:tr>
        <w:trPr>
          <w:tblHeader w:val="true"/>
        </w:trPr>
        <w:tc>
          <w:tcPr>
            <w:tcW w:type="dxa" w:w="2016"/>
            <w:vAlign w:val="center"/>
            <w:shd w:fill="1F4E78"/>
          </w:tcPr>
          <w:p>
            <w:r/>
            <w:r>
              <w:rPr>
                <w:b/>
                <w:color w:val="FFFFFF"/>
                <w:sz w:val="15"/>
              </w:rPr>
              <w:t>Prior-art area</w:t>
            </w:r>
          </w:p>
        </w:tc>
        <w:tc>
          <w:tcPr>
            <w:tcW w:type="dxa" w:w="5760"/>
            <w:vAlign w:val="center"/>
            <w:shd w:fill="1F4E78"/>
          </w:tcPr>
          <w:p>
            <w:r/>
            <w:r>
              <w:rPr>
                <w:b/>
                <w:color w:val="FFFFFF"/>
                <w:sz w:val="15"/>
              </w:rPr>
              <w:t>What already exists</w:t>
            </w:r>
          </w:p>
        </w:tc>
        <w:tc>
          <w:tcPr>
            <w:tcW w:type="dxa" w:w="6336"/>
            <w:vAlign w:val="center"/>
            <w:shd w:fill="1F4E78"/>
          </w:tcPr>
          <w:p>
            <w:r/>
            <w:r>
              <w:rPr>
                <w:b/>
                <w:color w:val="FFFFFF"/>
                <w:sz w:val="15"/>
              </w:rPr>
              <w:t>Claim boundary</w:t>
            </w:r>
          </w:p>
        </w:tc>
      </w:tr>
      <w:tr>
        <w:trPr>
          <w:cantSplit/>
        </w:trPr>
        <w:tc>
          <w:tcPr>
            <w:tcW w:type="dxa" w:w="2016"/>
            <w:vAlign w:val="center"/>
          </w:tcPr>
          <w:p>
            <w:r/>
            <w:r>
              <w:rPr>
                <w:b w:val="0"/>
                <w:sz w:val="15"/>
              </w:rPr>
              <w:t>Composite indicators</w:t>
            </w:r>
          </w:p>
        </w:tc>
        <w:tc>
          <w:tcPr>
            <w:tcW w:type="dxa" w:w="5760"/>
            <w:vAlign w:val="center"/>
          </w:tcPr>
          <w:p>
            <w:r/>
            <w:r>
              <w:rPr>
                <w:b w:val="0"/>
                <w:sz w:val="15"/>
              </w:rPr>
              <w:t>Weighting, aggregation, uncertainty and sensitivity analysis for country rankings are established practice.</w:t>
            </w:r>
          </w:p>
        </w:tc>
        <w:tc>
          <w:tcPr>
            <w:tcW w:type="dxa" w:w="6336"/>
            <w:vAlign w:val="center"/>
          </w:tcPr>
          <w:p>
            <w:r/>
            <w:r>
              <w:rPr>
                <w:b w:val="0"/>
                <w:sz w:val="15"/>
              </w:rPr>
              <w:t>Monte Carlo analysis alone is not the paper's novelty.</w:t>
            </w:r>
          </w:p>
        </w:tc>
      </w:tr>
      <w:tr>
        <w:trPr>
          <w:cantSplit/>
        </w:trPr>
        <w:tc>
          <w:tcPr>
            <w:tcW w:type="dxa" w:w="2016"/>
            <w:vAlign w:val="center"/>
            <w:shd w:fill="EAF2F8"/>
          </w:tcPr>
          <w:p>
            <w:r/>
            <w:r>
              <w:rPr>
                <w:b w:val="0"/>
                <w:sz w:val="15"/>
              </w:rPr>
              <w:t>Governance measurement</w:t>
            </w:r>
          </w:p>
        </w:tc>
        <w:tc>
          <w:tcPr>
            <w:tcW w:type="dxa" w:w="5760"/>
            <w:vAlign w:val="center"/>
            <w:shd w:fill="EAF2F8"/>
          </w:tcPr>
          <w:p>
            <w:r/>
            <w:r>
              <w:rPr>
                <w:b w:val="0"/>
                <w:sz w:val="15"/>
              </w:rPr>
              <w:t>The WGI already estimate six governance dimensions and report measurement uncertainty.</w:t>
            </w:r>
          </w:p>
        </w:tc>
        <w:tc>
          <w:tcPr>
            <w:tcW w:type="dxa" w:w="6336"/>
            <w:vAlign w:val="center"/>
            <w:shd w:fill="EAF2F8"/>
          </w:tcPr>
          <w:p>
            <w:r/>
            <w:r>
              <w:rPr>
                <w:b w:val="0"/>
                <w:sz w:val="15"/>
              </w:rPr>
              <w:t>The proposed PCI/RPCI aggregate is an author-defined analytical layer, not an official World Bank index.</w:t>
            </w:r>
          </w:p>
        </w:tc>
      </w:tr>
      <w:tr>
        <w:trPr>
          <w:cantSplit/>
        </w:trPr>
        <w:tc>
          <w:tcPr>
            <w:tcW w:type="dxa" w:w="2016"/>
            <w:vAlign w:val="center"/>
          </w:tcPr>
          <w:p>
            <w:r/>
            <w:r>
              <w:rPr>
                <w:b w:val="0"/>
                <w:sz w:val="15"/>
              </w:rPr>
              <w:t>Revised WGI data</w:t>
            </w:r>
          </w:p>
        </w:tc>
        <w:tc>
          <w:tcPr>
            <w:tcW w:type="dxa" w:w="5760"/>
            <w:vAlign w:val="center"/>
          </w:tcPr>
          <w:p>
            <w:r/>
            <w:r>
              <w:rPr>
                <w:b w:val="0"/>
                <w:sz w:val="15"/>
              </w:rPr>
              <w:t>The official series supplies six 0-100 dimension scores, standard errors and confidence intervals.</w:t>
            </w:r>
          </w:p>
        </w:tc>
        <w:tc>
          <w:tcPr>
            <w:tcW w:type="dxa" w:w="6336"/>
            <w:vAlign w:val="center"/>
          </w:tcPr>
          <w:p>
            <w:r/>
            <w:r>
              <w:rPr>
                <w:b w:val="0"/>
                <w:sz w:val="15"/>
              </w:rPr>
              <w:t>Short-run changes and overlapping intervals must not be over-interpreted.</w:t>
            </w:r>
          </w:p>
        </w:tc>
      </w:tr>
      <w:tr>
        <w:trPr>
          <w:cantSplit/>
        </w:trPr>
        <w:tc>
          <w:tcPr>
            <w:tcW w:type="dxa" w:w="2016"/>
            <w:vAlign w:val="center"/>
            <w:shd w:fill="EAF2F8"/>
          </w:tcPr>
          <w:p>
            <w:r/>
            <w:r>
              <w:rPr>
                <w:b w:val="0"/>
                <w:sz w:val="15"/>
              </w:rPr>
              <w:t>Mining policy benchmark</w:t>
            </w:r>
          </w:p>
        </w:tc>
        <w:tc>
          <w:tcPr>
            <w:tcW w:type="dxa" w:w="5760"/>
            <w:vAlign w:val="center"/>
            <w:shd w:fill="EAF2F8"/>
          </w:tcPr>
          <w:p>
            <w:r/>
            <w:r>
              <w:rPr>
                <w:b w:val="0"/>
                <w:sz w:val="15"/>
              </w:rPr>
              <w:t>PPI is an established perception-based mining-policy benchmark.</w:t>
            </w:r>
          </w:p>
        </w:tc>
        <w:tc>
          <w:tcPr>
            <w:tcW w:type="dxa" w:w="6336"/>
            <w:vAlign w:val="center"/>
            <w:shd w:fill="EAF2F8"/>
          </w:tcPr>
          <w:p>
            <w:r/>
            <w:r>
              <w:rPr>
                <w:b w:val="0"/>
                <w:sz w:val="15"/>
              </w:rPr>
              <w:t>PPI is used only for convergent validation, never as both a feature and target.</w:t>
            </w:r>
          </w:p>
        </w:tc>
      </w:tr>
      <w:tr>
        <w:trPr>
          <w:cantSplit/>
        </w:trPr>
        <w:tc>
          <w:tcPr>
            <w:tcW w:type="dxa" w:w="2016"/>
            <w:vAlign w:val="center"/>
          </w:tcPr>
          <w:p>
            <w:r/>
            <w:r>
              <w:rPr>
                <w:b w:val="0"/>
                <w:sz w:val="15"/>
              </w:rPr>
              <w:t>Mining ranking limitations</w:t>
            </w:r>
          </w:p>
        </w:tc>
        <w:tc>
          <w:tcPr>
            <w:tcW w:type="dxa" w:w="5760"/>
            <w:vAlign w:val="center"/>
          </w:tcPr>
          <w:p>
            <w:r/>
            <w:r>
              <w:rPr>
                <w:b w:val="0"/>
                <w:sz w:val="15"/>
              </w:rPr>
              <w:t>Mining jurisdiction rankings can obscure survey uncertainty and contested policy concepts.</w:t>
            </w:r>
          </w:p>
        </w:tc>
        <w:tc>
          <w:tcPr>
            <w:tcW w:type="dxa" w:w="6336"/>
            <w:vAlign w:val="center"/>
          </w:tcPr>
          <w:p>
            <w:r/>
            <w:r>
              <w:rPr>
                <w:b w:val="0"/>
                <w:sz w:val="15"/>
              </w:rPr>
              <w:t>Results are screening evidence, not precise prescriptions or causal effects.</w:t>
            </w:r>
          </w:p>
        </w:tc>
      </w:tr>
      <w:tr>
        <w:trPr>
          <w:cantSplit/>
        </w:trPr>
        <w:tc>
          <w:tcPr>
            <w:tcW w:type="dxa" w:w="2016"/>
            <w:vAlign w:val="center"/>
            <w:shd w:fill="EAF2F8"/>
          </w:tcPr>
          <w:p>
            <w:r/>
            <w:r>
              <w:rPr>
                <w:b w:val="0"/>
                <w:sz w:val="15"/>
              </w:rPr>
              <w:t>Governance in mining risk</w:t>
            </w:r>
          </w:p>
        </w:tc>
        <w:tc>
          <w:tcPr>
            <w:tcW w:type="dxa" w:w="5760"/>
            <w:vAlign w:val="center"/>
            <w:shd w:fill="EAF2F8"/>
          </w:tcPr>
          <w:p>
            <w:r/>
            <w:r>
              <w:rPr>
                <w:b w:val="0"/>
                <w:sz w:val="15"/>
              </w:rPr>
              <w:t>Country governance indicators have been tested in mining contexts and can fail for specific outcomes.</w:t>
            </w:r>
          </w:p>
        </w:tc>
        <w:tc>
          <w:tcPr>
            <w:tcW w:type="dxa" w:w="6336"/>
            <w:vAlign w:val="center"/>
            <w:shd w:fill="EAF2F8"/>
          </w:tcPr>
          <w:p>
            <w:r/>
            <w:r>
              <w:rPr>
                <w:b w:val="0"/>
                <w:sz w:val="15"/>
              </w:rPr>
              <w:t>Construct validity is outcome-specific; the paper reports its failed general-FDI test.</w:t>
            </w:r>
          </w:p>
        </w:tc>
      </w:tr>
      <w:tr>
        <w:trPr>
          <w:cantSplit/>
        </w:trPr>
        <w:tc>
          <w:tcPr>
            <w:tcW w:type="dxa" w:w="2016"/>
            <w:vAlign w:val="center"/>
          </w:tcPr>
          <w:p>
            <w:r/>
            <w:r>
              <w:rPr>
                <w:b w:val="0"/>
                <w:sz w:val="15"/>
              </w:rPr>
              <w:t>Mining MCDM</w:t>
            </w:r>
          </w:p>
        </w:tc>
        <w:tc>
          <w:tcPr>
            <w:tcW w:type="dxa" w:w="5760"/>
            <w:vAlign w:val="center"/>
          </w:tcPr>
          <w:p>
            <w:r/>
            <w:r>
              <w:rPr>
                <w:b w:val="0"/>
                <w:sz w:val="15"/>
              </w:rPr>
              <w:t>AHP-based mining investment choice is established.</w:t>
            </w:r>
          </w:p>
        </w:tc>
        <w:tc>
          <w:tcPr>
            <w:tcW w:type="dxa" w:w="6336"/>
            <w:vAlign w:val="center"/>
          </w:tcPr>
          <w:p>
            <w:r/>
            <w:r>
              <w:rPr>
                <w:b w:val="0"/>
                <w:sz w:val="15"/>
              </w:rPr>
              <w:t>AHP or TOPSIS alone cannot be claimed as novel.</w:t>
            </w:r>
          </w:p>
        </w:tc>
      </w:tr>
      <w:tr>
        <w:trPr>
          <w:cantSplit/>
        </w:trPr>
        <w:tc>
          <w:tcPr>
            <w:tcW w:type="dxa" w:w="2016"/>
            <w:vAlign w:val="center"/>
            <w:shd w:fill="EAF2F8"/>
          </w:tcPr>
          <w:p>
            <w:r/>
            <w:r>
              <w:rPr>
                <w:b w:val="0"/>
                <w:sz w:val="15"/>
              </w:rPr>
              <w:t>Strategic-mineral indicators</w:t>
            </w:r>
          </w:p>
        </w:tc>
        <w:tc>
          <w:tcPr>
            <w:tcW w:type="dxa" w:w="5760"/>
            <w:vAlign w:val="center"/>
            <w:shd w:fill="EAF2F8"/>
          </w:tcPr>
          <w:p>
            <w:r/>
            <w:r>
              <w:rPr>
                <w:b w:val="0"/>
                <w:sz w:val="15"/>
              </w:rPr>
              <w:t>WGI and Fraser PPI have already appeared in composite mineral-security indicators.</w:t>
            </w:r>
          </w:p>
        </w:tc>
        <w:tc>
          <w:tcPr>
            <w:tcW w:type="dxa" w:w="6336"/>
            <w:vAlign w:val="center"/>
            <w:shd w:fill="EAF2F8"/>
          </w:tcPr>
          <w:p>
            <w:r/>
            <w:r>
              <w:rPr>
                <w:b w:val="0"/>
                <w:sz w:val="15"/>
              </w:rPr>
              <w:t>The contribution must be the validated integration and uncertainty discipline, not merely data-source combination.</w:t>
            </w:r>
          </w:p>
        </w:tc>
      </w:tr>
    </w:tbl>
    <w:p/>
    <w:p>
      <w:r>
        <w:t>Claims that must not appear:</w:t>
      </w:r>
    </w:p>
    <w:p>
      <w:pPr>
        <w:pStyle w:val="ListBullet"/>
      </w:pPr>
      <w:r>
        <w:t>AHP, TOPSIS, WGI, Fraser PPI, PCA, entropy weighting, machine learning, or Monte Carlo analysis is novel by itself.</w:t>
      </w:r>
    </w:p>
    <w:p>
      <w:pPr>
        <w:pStyle w:val="ListBullet"/>
      </w:pPr>
      <w:r>
        <w:t>The empirical pipeline implements a closed adaptive feedback loop or has converged.</w:t>
      </w:r>
    </w:p>
    <w:p>
      <w:pPr>
        <w:pStyle w:val="ListBullet"/>
      </w:pPr>
      <w:r>
        <w:t>The governance layer causes investment, predicts mining investment generally, or guarantees superior PCI/RPCI.</w:t>
      </w:r>
    </w:p>
    <w:p>
      <w:pPr>
        <w:pStyle w:val="ListBullet"/>
      </w:pPr>
      <w:r>
        <w:t>Small differences in country rank are statistically meaningful when WGI measurement intervals overlap.</w:t>
      </w:r>
    </w:p>
    <w:p>
      <w:pPr>
        <w:pStyle w:val="ListBullet"/>
      </w:pPr>
      <w:r>
        <w:t>Fraser PPI is ground truth. It is a perception benchmark with sampling and conceptual limitations.</w:t>
      </w:r>
    </w:p>
    <w:p>
      <w:pPr>
        <w:pStyle w:val="Heading1"/>
      </w:pPr>
      <w:r>
        <w:t>Known limitations retained transparently</w:t>
      </w:r>
    </w:p>
    <w:p>
      <w:pPr>
        <w:pStyle w:val="ListBullet"/>
      </w:pPr>
      <w:r>
        <w:t>Only 16 study countries are ranked; the results are not an Africa-wide census.</w:t>
      </w:r>
    </w:p>
    <w:p>
      <w:pPr>
        <w:pStyle w:val="ListBullet"/>
      </w:pPr>
      <w:r>
        <w:t>Fraser validation covers 70 country-year observations across 14 countries from 2019-2024; Nigeria and Sierra Leone lack observations and are not imputed.</w:t>
      </w:r>
    </w:p>
    <w:p>
      <w:pPr>
        <w:pStyle w:val="ListBullet"/>
      </w:pPr>
      <w:r>
        <w:t>WGI errors are sampled independently because cross-dimension error covariance is unavailable. This approximation is stated, not concealed.</w:t>
      </w:r>
    </w:p>
    <w:p>
      <w:pPr>
        <w:pStyle w:val="ListBullet"/>
      </w:pPr>
      <w:r>
        <w:t>WGI dimensions are highly collinear. Multivariate coefficient signs are unstable, so predictive coefficients are not promoted as causal or primary weights.</w:t>
      </w:r>
    </w:p>
    <w:p>
      <w:pPr>
        <w:pStyle w:val="ListBullet"/>
      </w:pPr>
      <w:r>
        <w:t>PCI and RPCI are author-defined summaries. Their substantive interpretation and penalty choices require equations, rationale and sensitivity reporting in the manuscript.</w:t>
      </w:r>
    </w:p>
    <w:p>
      <w:pPr>
        <w:pStyle w:val="ListBullet"/>
      </w:pPr>
      <w:r>
        <w:t>Country governance screening cannot replace project-level geology, finance, ESG due diligence, community consent or legal review.</w:t>
      </w:r>
    </w:p>
    <w:p>
      <w:pPr>
        <w:pStyle w:val="Heading1"/>
      </w:pPr>
      <w:r>
        <w:t>Decisions requested from the supervisor/author</w:t>
      </w:r>
    </w:p>
    <w:p>
      <w:pPr>
        <w:pStyle w:val="ListBullet"/>
      </w:pPr>
      <w:r>
        <w:t>Approve replacing the historical four-configuration Tables 8 and 9 with the candidate governance-coherence and validation tables in this brief.</w:t>
      </w:r>
    </w:p>
    <w:p>
      <w:pPr>
        <w:pStyle w:val="ListBullet"/>
      </w:pPr>
      <w:r>
        <w:t>Approve uniform weighting across all six WGI dimensions as primary, with three alternative schemes reported only as sensitivity analyses.</w:t>
      </w:r>
    </w:p>
    <w:p>
      <w:pPr>
        <w:pStyle w:val="ListBullet"/>
      </w:pPr>
      <w:r>
        <w:t>Approve the construct boundary: project-level EV/RC/EI/OF remains in the AHP-TOPSIS layer and is not projected onto country-governance dimensions.</w:t>
      </w:r>
    </w:p>
    <w:p>
      <w:pPr>
        <w:pStyle w:val="ListBullet"/>
      </w:pPr>
      <w:r>
        <w:t>Approve terminology: 'governance-coherence layer' or 'evidence-informed governance layer'; remove empirical claims of feedback, convergence and superiority.</w:t>
      </w:r>
    </w:p>
    <w:p>
      <w:pPr>
        <w:pStyle w:val="ListBullet"/>
      </w:pPr>
      <w:r>
        <w:t>Approve the proposed novelty statement subject to a targeted journal-specific literature update before resubmission.</w:t>
      </w:r>
    </w:p>
    <w:p>
      <w:pPr>
        <w:pStyle w:val="Heading1"/>
      </w:pPr>
      <w:r>
        <w:t>Manuscript work after approval</w:t>
      </w:r>
    </w:p>
    <w:tbl>
      <w:tblPr>
        <w:tblStyle w:val="TableGrid"/>
        <w:tblW w:type="auto" w:w="0"/>
        <w:tblLayout w:type="fixed"/>
        <w:tblLook w:firstColumn="1" w:firstRow="1" w:lastColumn="0" w:lastRow="0" w:noHBand="0" w:noVBand="1" w:val="04A0"/>
      </w:tblPr>
      <w:tblGrid>
        <w:gridCol w:w="7128"/>
        <w:gridCol w:w="7128"/>
      </w:tblGrid>
      <w:tr>
        <w:trPr>
          <w:tblHeader w:val="true"/>
        </w:trPr>
        <w:tc>
          <w:tcPr>
            <w:tcW w:type="dxa" w:w="2880"/>
            <w:vAlign w:val="center"/>
            <w:shd w:fill="1F4E78"/>
          </w:tcPr>
          <w:p>
            <w:r/>
            <w:r>
              <w:rPr>
                <w:b/>
                <w:color w:val="FFFFFF"/>
                <w:sz w:val="16"/>
              </w:rPr>
              <w:t>Manuscript location</w:t>
            </w:r>
          </w:p>
        </w:tc>
        <w:tc>
          <w:tcPr>
            <w:tcW w:type="dxa" w:w="11232"/>
            <w:vAlign w:val="center"/>
            <w:shd w:fill="1F4E78"/>
          </w:tcPr>
          <w:p>
            <w:r/>
            <w:r>
              <w:rPr>
                <w:b/>
                <w:color w:val="FFFFFF"/>
                <w:sz w:val="16"/>
              </w:rPr>
              <w:t>Required change</w:t>
            </w:r>
          </w:p>
        </w:tc>
      </w:tr>
      <w:tr>
        <w:trPr>
          <w:cantSplit/>
        </w:trPr>
        <w:tc>
          <w:tcPr>
            <w:tcW w:type="dxa" w:w="2880"/>
            <w:vAlign w:val="center"/>
          </w:tcPr>
          <w:p>
            <w:r/>
            <w:r>
              <w:rPr>
                <w:b w:val="0"/>
                <w:sz w:val="16"/>
              </w:rPr>
              <w:t>Abstract and contributions</w:t>
            </w:r>
          </w:p>
        </w:tc>
        <w:tc>
          <w:tcPr>
            <w:tcW w:type="dxa" w:w="11232"/>
            <w:vAlign w:val="center"/>
          </w:tcPr>
          <w:p>
            <w:r/>
            <w:r>
              <w:rPr>
                <w:b w:val="0"/>
                <w:sz w:val="16"/>
              </w:rPr>
              <w:t>Replace superiority/adaptive-performance claims with the validated integration, uncertainty and construct-separation contribution.</w:t>
            </w:r>
          </w:p>
        </w:tc>
      </w:tr>
      <w:tr>
        <w:trPr>
          <w:cantSplit/>
        </w:trPr>
        <w:tc>
          <w:tcPr>
            <w:tcW w:type="dxa" w:w="2880"/>
            <w:vAlign w:val="center"/>
            <w:shd w:fill="EAF2F8"/>
          </w:tcPr>
          <w:p>
            <w:r/>
            <w:r>
              <w:rPr>
                <w:b w:val="0"/>
                <w:sz w:val="16"/>
              </w:rPr>
              <w:t>Conceptual framework</w:t>
            </w:r>
          </w:p>
        </w:tc>
        <w:tc>
          <w:tcPr>
            <w:tcW w:type="dxa" w:w="11232"/>
            <w:vAlign w:val="center"/>
            <w:shd w:fill="EAF2F8"/>
          </w:tcPr>
          <w:p>
            <w:r/>
            <w:r>
              <w:rPr>
                <w:b w:val="0"/>
                <w:sz w:val="16"/>
              </w:rPr>
              <w:t>Draw a hard boundary between country governance screening and project-level AHP-TOPSIS criteria.</w:t>
            </w:r>
          </w:p>
        </w:tc>
      </w:tr>
      <w:tr>
        <w:trPr>
          <w:cantSplit/>
        </w:trPr>
        <w:tc>
          <w:tcPr>
            <w:tcW w:type="dxa" w:w="2880"/>
            <w:vAlign w:val="center"/>
          </w:tcPr>
          <w:p>
            <w:r/>
            <w:r>
              <w:rPr>
                <w:b w:val="0"/>
                <w:sz w:val="16"/>
              </w:rPr>
              <w:t>Data</w:t>
            </w:r>
          </w:p>
        </w:tc>
        <w:tc>
          <w:tcPr>
            <w:tcW w:type="dxa" w:w="11232"/>
            <w:vAlign w:val="center"/>
          </w:tcPr>
          <w:p>
            <w:r/>
            <w:r>
              <w:rPr>
                <w:b w:val="0"/>
                <w:sz w:val="16"/>
              </w:rPr>
              <w:t>Document official 2025 revised WGI series, all six dimensions, 2002-2024 panel, Fraser coverage and missingness.</w:t>
            </w:r>
          </w:p>
        </w:tc>
      </w:tr>
      <w:tr>
        <w:trPr>
          <w:cantSplit/>
        </w:trPr>
        <w:tc>
          <w:tcPr>
            <w:tcW w:type="dxa" w:w="2880"/>
            <w:vAlign w:val="center"/>
            <w:shd w:fill="EAF2F8"/>
          </w:tcPr>
          <w:p>
            <w:r/>
            <w:r>
              <w:rPr>
                <w:b w:val="0"/>
                <w:sz w:val="16"/>
              </w:rPr>
              <w:t>Methods</w:t>
            </w:r>
          </w:p>
        </w:tc>
        <w:tc>
          <w:tcPr>
            <w:tcW w:type="dxa" w:w="11232"/>
            <w:vAlign w:val="center"/>
            <w:shd w:fill="EAF2F8"/>
          </w:tcPr>
          <w:p>
            <w:r/>
            <w:r>
              <w:rPr>
                <w:b w:val="0"/>
                <w:sz w:val="16"/>
              </w:rPr>
              <w:t>Add exact PCI/RPCI equations, uniform primary weights, alternative schemes, WGI-error simulation, weight perturbation, LOCO and bootstrap protocols.</w:t>
            </w:r>
          </w:p>
        </w:tc>
      </w:tr>
      <w:tr>
        <w:trPr>
          <w:cantSplit/>
        </w:trPr>
        <w:tc>
          <w:tcPr>
            <w:tcW w:type="dxa" w:w="2880"/>
            <w:vAlign w:val="center"/>
          </w:tcPr>
          <w:p>
            <w:r/>
            <w:r>
              <w:rPr>
                <w:b w:val="0"/>
                <w:sz w:val="16"/>
              </w:rPr>
              <w:t>Results</w:t>
            </w:r>
          </w:p>
        </w:tc>
        <w:tc>
          <w:tcPr>
            <w:tcW w:type="dxa" w:w="11232"/>
            <w:vAlign w:val="center"/>
          </w:tcPr>
          <w:p>
            <w:r/>
            <w:r>
              <w:rPr>
                <w:b w:val="0"/>
                <w:sz w:val="16"/>
              </w:rPr>
              <w:t>Insert approved Tables 8 and 9; report both Fraser convergence and the null general-FDI result.</w:t>
            </w:r>
          </w:p>
        </w:tc>
      </w:tr>
      <w:tr>
        <w:trPr>
          <w:cantSplit/>
        </w:trPr>
        <w:tc>
          <w:tcPr>
            <w:tcW w:type="dxa" w:w="2880"/>
            <w:vAlign w:val="center"/>
            <w:shd w:fill="EAF2F8"/>
          </w:tcPr>
          <w:p>
            <w:r/>
            <w:r>
              <w:rPr>
                <w:b w:val="0"/>
                <w:sz w:val="16"/>
              </w:rPr>
              <w:t>Discussion</w:t>
            </w:r>
          </w:p>
        </w:tc>
        <w:tc>
          <w:tcPr>
            <w:tcW w:type="dxa" w:w="11232"/>
            <w:vAlign w:val="center"/>
            <w:shd w:fill="EAF2F8"/>
          </w:tcPr>
          <w:p>
            <w:r/>
            <w:r>
              <w:rPr>
                <w:b w:val="0"/>
                <w:sz w:val="16"/>
              </w:rPr>
              <w:t>Discuss rank uncertainty, collinearity, perception-data limits, non-causality and screening-only use.</w:t>
            </w:r>
          </w:p>
        </w:tc>
      </w:tr>
      <w:tr>
        <w:trPr>
          <w:cantSplit/>
        </w:trPr>
        <w:tc>
          <w:tcPr>
            <w:tcW w:type="dxa" w:w="2880"/>
            <w:vAlign w:val="center"/>
          </w:tcPr>
          <w:p>
            <w:r/>
            <w:r>
              <w:rPr>
                <w:b w:val="0"/>
                <w:sz w:val="16"/>
              </w:rPr>
              <w:t>Title/terminology</w:t>
            </w:r>
          </w:p>
        </w:tc>
        <w:tc>
          <w:tcPr>
            <w:tcW w:type="dxa" w:w="11232"/>
            <w:vAlign w:val="center"/>
          </w:tcPr>
          <w:p>
            <w:r/>
            <w:r>
              <w:rPr>
                <w:b w:val="0"/>
                <w:sz w:val="16"/>
              </w:rPr>
              <w:t>Avoid claiming an empirically executed adaptive feedback system unless a real outcome-fed update loop is later implemented and tested.</w:t>
            </w:r>
          </w:p>
        </w:tc>
      </w:tr>
      <w:tr>
        <w:trPr>
          <w:cantSplit/>
        </w:trPr>
        <w:tc>
          <w:tcPr>
            <w:tcW w:type="dxa" w:w="2880"/>
            <w:vAlign w:val="center"/>
            <w:shd w:fill="EAF2F8"/>
          </w:tcPr>
          <w:p>
            <w:r/>
            <w:r>
              <w:rPr>
                <w:b w:val="0"/>
                <w:sz w:val="16"/>
              </w:rPr>
              <w:t>Repository statement</w:t>
            </w:r>
          </w:p>
        </w:tc>
        <w:tc>
          <w:tcPr>
            <w:tcW w:type="dxa" w:w="11232"/>
            <w:vAlign w:val="center"/>
            <w:shd w:fill="EAF2F8"/>
          </w:tcPr>
          <w:p>
            <w:r/>
            <w:r>
              <w:rPr>
                <w:b w:val="0"/>
                <w:sz w:val="16"/>
              </w:rPr>
              <w:t>Publish code, input provenance, seeds, manifests, checksums and machine-readable table outputs.</w:t>
            </w:r>
          </w:p>
        </w:tc>
      </w:tr>
    </w:tbl>
    <w:p/>
    <w:p>
      <w:pPr>
        <w:pStyle w:val="Heading1"/>
      </w:pPr>
      <w:r>
        <w:t>Reproducibility record</w:t>
      </w:r>
    </w:p>
    <w:p>
      <w:r>
        <w:t>The official WGI panel contains 368 complete country-year rows (16 countries x 23 years, 2002-2024). The robustness engine was run twice; all 11 generated files were byte-identical. Random seeds are fixed in the analysis scripts. The source workbook SHA256 recorded during extraction is 25a2f9eabb90b0092973392c0b31571aa58b691cc5786292e504b52f693e1eb8.</w:t>
      </w:r>
    </w:p>
    <w:tbl>
      <w:tblPr>
        <w:tblStyle w:val="TableGrid"/>
        <w:tblW w:type="auto" w:w="0"/>
        <w:tblLayout w:type="fixed"/>
        <w:tblLook w:firstColumn="1" w:firstRow="1" w:lastColumn="0" w:lastRow="0" w:noHBand="0" w:noVBand="1" w:val="04A0"/>
      </w:tblPr>
      <w:tblGrid>
        <w:gridCol w:w="7128"/>
        <w:gridCol w:w="7128"/>
      </w:tblGrid>
      <w:tr>
        <w:trPr>
          <w:tblHeader w:val="true"/>
        </w:trPr>
        <w:tc>
          <w:tcPr>
            <w:tcW w:type="dxa" w:w="4752"/>
            <w:vAlign w:val="center"/>
            <w:shd w:fill="1F4E78"/>
          </w:tcPr>
          <w:p>
            <w:r/>
            <w:r>
              <w:rPr>
                <w:b/>
                <w:color w:val="FFFFFF"/>
                <w:sz w:val="15"/>
              </w:rPr>
              <w:t>Artifact</w:t>
            </w:r>
          </w:p>
        </w:tc>
        <w:tc>
          <w:tcPr>
            <w:tcW w:type="dxa" w:w="9360"/>
            <w:vAlign w:val="center"/>
            <w:shd w:fill="1F4E78"/>
          </w:tcPr>
          <w:p>
            <w:r/>
            <w:r>
              <w:rPr>
                <w:b/>
                <w:color w:val="FFFFFF"/>
                <w:sz w:val="15"/>
              </w:rPr>
              <w:t>SHA256</w:t>
            </w:r>
          </w:p>
        </w:tc>
      </w:tr>
      <w:tr>
        <w:trPr>
          <w:cantSplit/>
        </w:trPr>
        <w:tc>
          <w:tcPr>
            <w:tcW w:type="dxa" w:w="4752"/>
            <w:vAlign w:val="center"/>
          </w:tcPr>
          <w:p>
            <w:r/>
            <w:r>
              <w:rPr>
                <w:b w:val="0"/>
                <w:sz w:val="15"/>
              </w:rPr>
              <w:t>Candidate Table 8 CSV</w:t>
            </w:r>
          </w:p>
        </w:tc>
        <w:tc>
          <w:tcPr>
            <w:tcW w:type="dxa" w:w="9360"/>
            <w:vAlign w:val="center"/>
          </w:tcPr>
          <w:p>
            <w:r/>
            <w:r>
              <w:rPr>
                <w:b w:val="0"/>
                <w:sz w:val="15"/>
              </w:rPr>
              <w:t>4e1ca232a88d8452ef6ead08b0c45a6626cc8b65e181f0779ea9faf2b948188d</w:t>
            </w:r>
          </w:p>
        </w:tc>
      </w:tr>
      <w:tr>
        <w:trPr>
          <w:cantSplit/>
        </w:trPr>
        <w:tc>
          <w:tcPr>
            <w:tcW w:type="dxa" w:w="4752"/>
            <w:vAlign w:val="center"/>
            <w:shd w:fill="EAF2F8"/>
          </w:tcPr>
          <w:p>
            <w:r/>
            <w:r>
              <w:rPr>
                <w:b w:val="0"/>
                <w:sz w:val="15"/>
              </w:rPr>
              <w:t>Candidate Table 9 CSV</w:t>
            </w:r>
          </w:p>
        </w:tc>
        <w:tc>
          <w:tcPr>
            <w:tcW w:type="dxa" w:w="9360"/>
            <w:vAlign w:val="center"/>
            <w:shd w:fill="EAF2F8"/>
          </w:tcPr>
          <w:p>
            <w:r/>
            <w:r>
              <w:rPr>
                <w:b w:val="0"/>
                <w:sz w:val="15"/>
              </w:rPr>
              <w:t>6da90bd73db6475000e68ffb7b6d4362ccff943593d1e1c6a6815da672aadb4d</w:t>
            </w:r>
          </w:p>
        </w:tc>
      </w:tr>
      <w:tr>
        <w:trPr>
          <w:cantSplit/>
        </w:trPr>
        <w:tc>
          <w:tcPr>
            <w:tcW w:type="dxa" w:w="4752"/>
            <w:vAlign w:val="center"/>
          </w:tcPr>
          <w:p>
            <w:r/>
            <w:r>
              <w:rPr>
                <w:b w:val="0"/>
                <w:sz w:val="15"/>
              </w:rPr>
              <w:t>Six-dimension robustness manifest</w:t>
            </w:r>
          </w:p>
        </w:tc>
        <w:tc>
          <w:tcPr>
            <w:tcW w:type="dxa" w:w="9360"/>
            <w:vAlign w:val="center"/>
          </w:tcPr>
          <w:p>
            <w:r/>
            <w:r>
              <w:rPr>
                <w:b w:val="0"/>
                <w:sz w:val="15"/>
              </w:rPr>
              <w:t>ca46a835b3c805c279eb38b9cf6288dca839c30d061e6dbc0f94e911b74f447a</w:t>
            </w:r>
          </w:p>
        </w:tc>
      </w:tr>
      <w:tr>
        <w:trPr>
          <w:cantSplit/>
        </w:trPr>
        <w:tc>
          <w:tcPr>
            <w:tcW w:type="dxa" w:w="4752"/>
            <w:vAlign w:val="center"/>
            <w:shd w:fill="EAF2F8"/>
          </w:tcPr>
          <w:p>
            <w:r/>
            <w:r>
              <w:rPr>
                <w:b w:val="0"/>
                <w:sz w:val="15"/>
              </w:rPr>
              <w:t>Fraser validation manifest</w:t>
            </w:r>
          </w:p>
        </w:tc>
        <w:tc>
          <w:tcPr>
            <w:tcW w:type="dxa" w:w="9360"/>
            <w:vAlign w:val="center"/>
            <w:shd w:fill="EAF2F8"/>
          </w:tcPr>
          <w:p>
            <w:r/>
            <w:r>
              <w:rPr>
                <w:b w:val="0"/>
                <w:sz w:val="15"/>
              </w:rPr>
              <w:t>35a2b98bf839c7fbafd0971d3d52c048fbefadfcbe2902e65073ef3878e52338</w:t>
            </w:r>
          </w:p>
        </w:tc>
      </w:tr>
      <w:tr>
        <w:trPr>
          <w:cantSplit/>
        </w:trPr>
        <w:tc>
          <w:tcPr>
            <w:tcW w:type="dxa" w:w="4752"/>
            <w:vAlign w:val="center"/>
          </w:tcPr>
          <w:p>
            <w:r/>
            <w:r>
              <w:rPr>
                <w:b w:val="0"/>
                <w:sz w:val="15"/>
              </w:rPr>
              <w:t>General-FDI modeling manifest</w:t>
            </w:r>
          </w:p>
        </w:tc>
        <w:tc>
          <w:tcPr>
            <w:tcW w:type="dxa" w:w="9360"/>
            <w:vAlign w:val="center"/>
          </w:tcPr>
          <w:p>
            <w:r/>
            <w:r>
              <w:rPr>
                <w:b w:val="0"/>
                <w:sz w:val="15"/>
              </w:rPr>
              <w:t>b242f340af30451f7567f836d0f51ab7759cae7d503bee7a03aeb2d4bc17c3f7</w:t>
            </w:r>
          </w:p>
        </w:tc>
      </w:tr>
    </w:tbl>
    <w:p/>
    <w:p>
      <w:pPr>
        <w:pStyle w:val="Heading1"/>
      </w:pPr>
      <w:r>
        <w:t>References and evidence links</w:t>
      </w:r>
    </w:p>
    <w:p>
      <w:r>
        <w:t>1. OECD, European Union and EC-JRC (2008), Handbook on Constructing Composite Indicators. https://doi.org/10.1787/9789264043466-en</w:t>
      </w:r>
    </w:p>
    <w:p>
      <w:r>
        <w:t>2. Kaufmann and Kraay (2024), The Worldwide Governance Indicators: Methodology and 2024 Update. https://doi.org/10.1596/1813-9450-10952</w:t>
      </w:r>
    </w:p>
    <w:p>
      <w:r>
        <w:t>3. World Bank (2025), Worldwide Governance Indicators documentation and revised methodology. https://www.worldbank.org/en/publication/worldwide-governance-indicators/documentation</w:t>
      </w:r>
    </w:p>
    <w:p>
      <w:r>
        <w:t>4. Fraser Institute (2023/2024), Annual Survey of Mining Companies. https://www.fraserinstitute.org/studies/annual-survey-of-mining-companies-2023</w:t>
      </w:r>
    </w:p>
    <w:p>
      <w:r>
        <w:t>5. The perils of ranking mining countries and regions (Mineral Economics, 2024). https://doi.org/10.1007/s13563-023-00405-y</w:t>
      </w:r>
    </w:p>
    <w:p>
      <w:r>
        <w:t>6. Kuehnel et al. (2023), Correlation analysis of country governance indicators and mining incidents. https://doi.org/10.1016/j.resourpol.2023.103762</w:t>
      </w:r>
    </w:p>
    <w:p>
      <w:r>
        <w:t>7. Support of mining investment choice decisions with the use of multi-criteria method. https://www.sciencedirect.com/science/article/abs/pii/S0301420716303348</w:t>
      </w:r>
    </w:p>
    <w:p>
      <w:r>
        <w:t>8. Synthesized indicator for evaluating security of strategic minerals: lithium case study (2020). https://www.sciencedirect.com/science/article/pii/S0301420720309466</w:t>
      </w:r>
    </w:p>
    <w:p/>
    <w:p>
      <w:pPr>
        <w:jc w:val="center"/>
      </w:pPr>
      <w:r>
        <w:rPr>
          <w:b/>
          <w:color w:val="1F4E78"/>
        </w:rPr>
        <w:t>Prepared as a computational decision brief. Final table numbering and manuscript adoption remain at the author/supervisor's discretion.</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