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2E4057"/>
          <w:sz w:val="40"/>
          <w:szCs w:val="40"/>
        </w:rPr>
        <w:t xml:space="preserve">DATA_ACCESS — SCIPRA Repository</w:t>
      </w:r>
    </w:p>
    <w:p>
      <w:r>
        <w:rPr>
          <w:b/>
          <w:bCs/>
          <w:sz w:val="22"/>
          <w:szCs w:val="22"/>
        </w:rPr>
        <w:t xml:space="preserve">Manuscript: </w:t>
      </w:r>
      <w:r>
        <w:rPr>
          <w:sz w:val="22"/>
          <w:szCs w:val="22"/>
        </w:rPr>
        <w:t xml:space="preserve">Bridging the Investment–Regulatory–Stakeholder Divide: An AI-Enhanced MCDM Framework for Mineral Resource Policy Convergence in Africa</w:t>
      </w:r>
    </w:p>
    <w:p>
      <w:r>
        <w:rPr>
          <w:b/>
          <w:bCs/>
          <w:sz w:val="22"/>
          <w:szCs w:val="22"/>
        </w:rPr>
        <w:t xml:space="preserve">Authors: </w:t>
      </w:r>
      <w:r>
        <w:rPr>
          <w:sz w:val="22"/>
          <w:szCs w:val="22"/>
        </w:rPr>
        <w:t xml:space="preserve">Ige, O.O., Mora-Camino, F., &amp; Olanrewaju, O.A.</w:t>
      </w:r>
    </w:p>
    <w:p>
      <w:r>
        <w:rPr>
          <w:b/>
          <w:bCs/>
          <w:sz w:val="22"/>
          <w:szCs w:val="22"/>
        </w:rPr>
        <w:t xml:space="preserve">Repository: </w:t>
      </w:r>
      <w:r>
        <w:rPr>
          <w:sz w:val="22"/>
          <w:szCs w:val="22"/>
        </w:rPr>
        <w:t xml:space="preserve">https://github.com/igeoo/scipra-ai-mcdm-mineral-policy-africa</w:t>
      </w:r>
    </w:p>
    <w:p>
      <w:pPr>
        <w:pBdr>
          <w:bottom w:val="single" w:color="CCCCCC" w:sz="6" w:space="1"/>
        </w:pBdr>
        <w:spacing w:after="120"/>
      </w:pPr>
    </w:p>
    <w:p>
      <w:pPr>
        <w:pStyle w:val="Heading1"/>
      </w:pPr>
      <w:r>
        <w:t xml:space="preserve">1. Purpose of This Document</w:t>
      </w:r>
    </w:p>
    <w:p>
      <w:r>
        <w:rPr>
          <w:sz w:val="22"/>
          <w:szCs w:val="22"/>
        </w:rPr>
        <w:t xml:space="preserve">This document specifies:</w:t>
      </w:r>
    </w:p>
    <w:p>
      <w:pPr>
        <w:pStyle w:val="ListParagraph"/>
        <w:numPr>
          <w:ilvl w:val="0"/>
          <w:numId w:val="2"/>
        </w:numPr>
      </w:pPr>
      <w:r>
        <w:rPr>
          <w:sz w:val="22"/>
          <w:szCs w:val="22"/>
        </w:rPr>
        <w:t xml:space="preserve">Which datasets and materials are fully included in this repository;</w:t>
      </w:r>
    </w:p>
    <w:p>
      <w:pPr>
        <w:pStyle w:val="ListParagraph"/>
        <w:numPr>
          <w:ilvl w:val="0"/>
          <w:numId w:val="2"/>
        </w:numPr>
      </w:pPr>
      <w:r>
        <w:rPr>
          <w:sz w:val="22"/>
          <w:szCs w:val="22"/>
        </w:rPr>
        <w:t xml:space="preserve">Which materials are conditionally accessible and why;</w:t>
      </w:r>
    </w:p>
    <w:p>
      <w:pPr>
        <w:pStyle w:val="ListParagraph"/>
        <w:numPr>
          <w:ilvl w:val="0"/>
          <w:numId w:val="2"/>
        </w:numPr>
      </w:pPr>
      <w:r>
        <w:rPr>
          <w:sz w:val="22"/>
          <w:szCs w:val="22"/>
        </w:rPr>
        <w:t xml:space="preserve">The exact structure of the corpus manifest and how to read it;</w:t>
      </w:r>
    </w:p>
    <w:p>
      <w:pPr>
        <w:pStyle w:val="ListParagraph"/>
        <w:numPr>
          <w:ilvl w:val="0"/>
          <w:numId w:val="2"/>
        </w:numPr>
      </w:pPr>
      <w:r>
        <w:rPr>
          <w:sz w:val="22"/>
          <w:szCs w:val="22"/>
        </w:rPr>
        <w:t xml:space="preserve">Step-by-step instructions for retrieving each primary source, including direct URLs and API endpoints;</w:t>
      </w:r>
    </w:p>
    <w:p>
      <w:pPr>
        <w:pStyle w:val="ListParagraph"/>
        <w:numPr>
          <w:ilvl w:val="0"/>
          <w:numId w:val="2"/>
        </w:numPr>
      </w:pPr>
      <w:r>
        <w:rPr>
          <w:sz w:val="22"/>
          <w:szCs w:val="22"/>
        </w:rPr>
        <w:t xml:space="preserve">The annotation protocol used to label the 87-document corpus;</w:t>
      </w:r>
    </w:p>
    <w:p>
      <w:pPr>
        <w:pStyle w:val="ListParagraph"/>
        <w:numPr>
          <w:ilvl w:val="0"/>
          <w:numId w:val="2"/>
        </w:numPr>
      </w:pPr>
      <w:r>
        <w:rPr>
          <w:sz w:val="22"/>
          <w:szCs w:val="22"/>
        </w:rPr>
        <w:t xml:space="preserve">The precise execution order for reproducing all computational results;</w:t>
      </w:r>
    </w:p>
    <w:p>
      <w:pPr>
        <w:pStyle w:val="ListParagraph"/>
        <w:numPr>
          <w:ilvl w:val="0"/>
          <w:numId w:val="2"/>
        </w:numPr>
      </w:pPr>
      <w:r>
        <w:rPr>
          <w:sz w:val="22"/>
          <w:szCs w:val="22"/>
        </w:rPr>
        <w:t xml:space="preserve">Legal and ethical constraints governing redistribution of certain source materials.</w:t>
      </w:r>
    </w:p>
    <w:p>
      <w:pPr>
        <w:spacing w:after="80" w:before="80"/>
      </w:pPr>
    </w:p>
    <w:p>
      <w:r>
        <w:rPr>
          <w:sz w:val="22"/>
          <w:szCs w:val="22"/>
        </w:rPr>
        <w:t xml:space="preserve">The goal is methodological transparency sufficient for independent reproduction by a reviewer with access only to this repository and the public internet.</w:t>
      </w:r>
    </w:p>
    <w:p>
      <w:pPr>
        <w:pBdr>
          <w:bottom w:val="single" w:color="CCCCCC" w:sz="6" w:space="1"/>
        </w:pBdr>
        <w:spacing w:after="120"/>
      </w:pPr>
    </w:p>
    <w:p>
      <w:pPr>
        <w:pStyle w:val="Heading1"/>
      </w:pPr>
      <w:r>
        <w:t xml:space="preserve">2. Repository Data Categories</w:t>
      </w:r>
    </w:p>
    <w:p>
      <w:pPr>
        <w:spacing w:after="12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Mathematical derivations and proofs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appendices/</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Computational pipeline and algorithms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Stakeholder lexicons (V_P, V_L, V_U)</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code/lexicons.py</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Synthetic/example datasets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data/processed/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Corpus manifest (metadata 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data/corpus_manifest.csv</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Parameter configuration files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code/config.py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Figure source files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included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figures/svg/</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Original archival and institutional PDFs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Partially redistributable — see §5</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w:t>
            </w:r>
          </w:p>
        </w:tc>
      </w:tr>
    </w:tbl>
    <w:p>
      <w:pPr>
        <w:pBdr>
          <w:bottom w:val="single" w:color="CCCCCC" w:sz="6" w:space="1"/>
        </w:pBdr>
        <w:spacing w:after="120"/>
      </w:pPr>
    </w:p>
    <w:p>
      <w:pPr>
        <w:pStyle w:val="Heading1"/>
      </w:pPr>
      <w:r>
        <w:t xml:space="preserve">3. Fully Included Materials</w:t>
      </w:r>
    </w:p>
    <w:p>
      <w:r>
        <w:rPr>
          <w:sz w:val="22"/>
          <w:szCs w:val="22"/>
        </w:rPr>
        <w:t xml:space="preserve">The following components are fully available within this repository and are sufficient to reproduce the mathematical and computational architecture of SCIPRA without access to the original document corpus:</w:t>
      </w:r>
    </w:p>
    <w:p>
      <w:pPr>
        <w:pStyle w:val="ListParagraph"/>
        <w:numPr>
          <w:ilvl w:val="0"/>
          <w:numId w:val="3"/>
        </w:numPr>
      </w:pPr>
      <w:r>
        <w:rPr>
          <w:sz w:val="22"/>
          <w:szCs w:val="22"/>
        </w:rPr>
        <w:t xml:space="preserve">PCI and RPCI formulations (Equations 4–8, main text; Theorems A.1–A.2, SI)</w:t>
      </w:r>
    </w:p>
    <w:p>
      <w:pPr>
        <w:pStyle w:val="ListParagraph"/>
        <w:numPr>
          <w:ilvl w:val="0"/>
          <w:numId w:val="3"/>
        </w:numPr>
      </w:pPr>
      <w:r>
        <w:rPr>
          <w:sz w:val="22"/>
          <w:szCs w:val="22"/>
        </w:rPr>
        <w:t xml:space="preserve">Mathematical proofs and derivations (SI Appendix A)</w:t>
      </w:r>
    </w:p>
    <w:p>
      <w:pPr>
        <w:pStyle w:val="ListParagraph"/>
        <w:numPr>
          <w:ilvl w:val="0"/>
          <w:numId w:val="3"/>
        </w:numPr>
      </w:pPr>
      <w:r>
        <w:rPr>
          <w:sz w:val="22"/>
          <w:szCs w:val="22"/>
        </w:rPr>
        <w:t xml:space="preserve">SIC calculation procedures (Equations 1–3, main text)</w:t>
      </w:r>
    </w:p>
    <w:p>
      <w:pPr>
        <w:pStyle w:val="ListParagraph"/>
        <w:numPr>
          <w:ilvl w:val="0"/>
          <w:numId w:val="3"/>
        </w:numPr>
      </w:pPr>
      <w:r>
        <w:rPr>
          <w:sz w:val="22"/>
          <w:szCs w:val="22"/>
        </w:rPr>
        <w:t xml:space="preserve">Monte Carlo simulation logic (N = 10,000 draws; SI Section B.5)</w:t>
      </w:r>
    </w:p>
    <w:p>
      <w:pPr>
        <w:pStyle w:val="ListParagraph"/>
        <w:numPr>
          <w:ilvl w:val="0"/>
          <w:numId w:val="3"/>
        </w:numPr>
      </w:pPr>
      <w:r>
        <w:rPr>
          <w:sz w:val="22"/>
          <w:szCs w:val="22"/>
        </w:rPr>
        <w:t xml:space="preserve">NLP–SVM pipeline architecture (SI Algorithms 1–3)</w:t>
      </w:r>
    </w:p>
    <w:p>
      <w:pPr>
        <w:pStyle w:val="ListParagraph"/>
        <w:numPr>
          <w:ilvl w:val="0"/>
          <w:numId w:val="3"/>
        </w:numPr>
      </w:pPr>
      <w:r>
        <w:rPr>
          <w:sz w:val="22"/>
          <w:szCs w:val="22"/>
        </w:rPr>
        <w:t xml:space="preserve">TF-IDF preprocessing specification (SI Section B.1)</w:t>
      </w:r>
    </w:p>
    <w:p>
      <w:pPr>
        <w:pStyle w:val="ListParagraph"/>
        <w:numPr>
          <w:ilvl w:val="0"/>
          <w:numId w:val="3"/>
        </w:numPr>
      </w:pPr>
      <w:r>
        <w:rPr>
          <w:sz w:val="22"/>
          <w:szCs w:val="22"/>
        </w:rPr>
        <w:t xml:space="preserve">Stakeholder lexicons V_P, V_L, V_U (48 terms; SI Section B.3)</w:t>
      </w:r>
    </w:p>
    <w:p>
      <w:pPr>
        <w:pStyle w:val="ListParagraph"/>
        <w:numPr>
          <w:ilvl w:val="0"/>
          <w:numId w:val="3"/>
        </w:numPr>
      </w:pPr>
      <w:r>
        <w:rPr>
          <w:sz w:val="22"/>
          <w:szCs w:val="22"/>
        </w:rPr>
        <w:t xml:space="preserve">Parameter calibration tables (α, β, γ, δ; SI Table B5.2)</w:t>
      </w:r>
    </w:p>
    <w:p>
      <w:pPr>
        <w:pStyle w:val="ListParagraph"/>
        <w:numPr>
          <w:ilvl w:val="0"/>
          <w:numId w:val="3"/>
        </w:numPr>
      </w:pPr>
      <w:r>
        <w:rPr>
          <w:sz w:val="22"/>
          <w:szCs w:val="22"/>
        </w:rPr>
        <w:t xml:space="preserve">Synthetic demonstration datasets and example classification outputs</w:t>
      </w:r>
    </w:p>
    <w:p>
      <w:pPr>
        <w:pStyle w:val="ListParagraph"/>
        <w:numPr>
          <w:ilvl w:val="0"/>
          <w:numId w:val="3"/>
        </w:numPr>
      </w:pPr>
      <w:r>
        <w:rPr>
          <w:sz w:val="22"/>
          <w:szCs w:val="22"/>
        </w:rPr>
        <w:t xml:space="preserve">Reproducibility checklist (SI Section B.5)</w:t>
      </w:r>
    </w:p>
    <w:p>
      <w:pPr>
        <w:pBdr>
          <w:bottom w:val="single" w:color="CCCCCC" w:sz="6" w:space="1"/>
        </w:pBdr>
        <w:spacing w:after="120"/>
      </w:pPr>
    </w:p>
    <w:p>
      <w:pPr>
        <w:pStyle w:val="Heading1"/>
      </w:pPr>
      <w:r>
        <w:t xml:space="preserve">4. Corpus Manifest Schema</w:t>
      </w:r>
    </w:p>
    <w:p>
      <w:r>
        <w:rPr>
          <w:sz w:val="22"/>
          <w:szCs w:val="22"/>
        </w:rPr>
        <w:t xml:space="preserve">The file data/corpus_manifest.csv lists all 87 documents used in the Marikana NLP–SVM analysis. Each row corresponds to one document. The columns are:</w:t>
      </w:r>
    </w:p>
    <w:p>
      <w:pPr>
        <w:spacing w:after="12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string</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Unique identifier (e.g. GOV_001, NGO_014)</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stakeholder_group</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categorical</w:t>
            </w:r>
          </w:p>
        </w:tc>
        <w:tc>
          <w:tcPr>
            <w:tcW w:type="dxa" w:w="5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One of: government, investor, community, labour, ngo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source_type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categorical</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One of: commission_report, policy_document, ngo_report, media, parliamentary_record, academic, regulatory</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title</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string</w:t>
            </w:r>
          </w:p>
        </w:tc>
        <w:tc>
          <w:tcPr>
            <w:tcW w:type="dxa" w:w="5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 document title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author_or_publisher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string</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Issuing organisation</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year</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integer</w:t>
            </w:r>
          </w:p>
        </w:tc>
        <w:tc>
          <w:tcPr>
            <w:tcW w:type="dxa" w:w="5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Publication year (corpus spans 2010–2023)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url_or_doi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string</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Direct URL or DOI where publicly accessible; RESTRICTED where redistribution is not permitted</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access_date</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date</w:t>
            </w:r>
          </w:p>
        </w:tc>
        <w:tc>
          <w:tcPr>
            <w:tcW w:type="dxa" w:w="5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Date document was retrieved (YYYY-MM-DD format)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redistribution_status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categorical</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One of: open, restricted, reconstructable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stance_label</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binary</w:t>
            </w:r>
          </w:p>
        </w:tc>
        <w:tc>
          <w:tcPr>
            <w:tcW w:type="dxa" w:w="5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Annotation label used for SVM training: 1 = pro-integration, 0 = resistant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annotator_agreement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float</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Per-document inter-annotator agreement score (Cohen's κ; corpus-level κ = 0.71)</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notes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string</w:t>
            </w:r>
          </w:p>
        </w:tc>
        <w:tc>
          <w:tcPr>
            <w:tcW w:type="dxa" w:w="5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Any access caveats, archival mirrors, or retrieval notes</w:t>
            </w:r>
          </w:p>
        </w:tc>
      </w:tr>
    </w:tbl>
    <w:p>
      <w:pPr>
        <w:spacing w:after="80" w:before="120"/>
      </w:pPr>
    </w:p>
    <w:p>
      <w:r>
        <w:rPr>
          <w:sz w:val="22"/>
          <w:szCs w:val="22"/>
        </w:rPr>
        <w:t xml:space="preserve">Documents marked open can be downloaded directly from the URL in the manifest. Documents marked reconstructable can be retrieved using the instructions in §7. Documents marked restricted are described by metadata only; their content is not redistributable but their public-domain equivalents are identified in the notes column.</w:t>
      </w:r>
    </w:p>
    <w:p>
      <w:pPr>
        <w:pBdr>
          <w:bottom w:val="single" w:color="CCCCCC" w:sz="6" w:space="1"/>
        </w:pBdr>
        <w:spacing w:after="120"/>
      </w:pPr>
    </w:p>
    <w:p>
      <w:pPr>
        <w:pStyle w:val="Heading1"/>
      </w:pPr>
      <w:r>
        <w:t xml:space="preserve">5. Why the Full Corpus Is Not Directly Redistributed</w:t>
      </w:r>
    </w:p>
    <w:p>
      <w:r>
        <w:rPr>
          <w:sz w:val="22"/>
          <w:szCs w:val="22"/>
        </w:rPr>
        <w:t xml:space="preserve">Certain documents cannot be included in the repository because they are subject to:</w:t>
      </w:r>
    </w:p>
    <w:p>
      <w:pPr>
        <w:pStyle w:val="ListParagraph"/>
        <w:numPr>
          <w:ilvl w:val="0"/>
          <w:numId w:val="3"/>
        </w:numPr>
      </w:pPr>
      <w:r>
        <w:rPr>
          <w:sz w:val="22"/>
          <w:szCs w:val="22"/>
        </w:rPr>
        <w:t xml:space="preserve">Copyright held by the issuing NGO, commission, or media organisation;</w:t>
      </w:r>
    </w:p>
    <w:p>
      <w:pPr>
        <w:pStyle w:val="ListParagraph"/>
        <w:numPr>
          <w:ilvl w:val="0"/>
          <w:numId w:val="3"/>
        </w:numPr>
      </w:pPr>
      <w:r>
        <w:rPr>
          <w:sz w:val="22"/>
          <w:szCs w:val="22"/>
        </w:rPr>
        <w:t xml:space="preserve">Institutional publication restrictions on bulk redistribution;</w:t>
      </w:r>
    </w:p>
    <w:p>
      <w:pPr>
        <w:pStyle w:val="ListParagraph"/>
        <w:numPr>
          <w:ilvl w:val="0"/>
          <w:numId w:val="3"/>
        </w:numPr>
      </w:pPr>
      <w:r>
        <w:rPr>
          <w:sz w:val="22"/>
          <w:szCs w:val="22"/>
        </w:rPr>
        <w:t xml:space="preserve">Mixed-source compilations where individual component rights are unclear;</w:t>
      </w:r>
    </w:p>
    <w:p>
      <w:pPr>
        <w:pStyle w:val="ListParagraph"/>
        <w:numPr>
          <w:ilvl w:val="0"/>
          <w:numId w:val="3"/>
        </w:numPr>
      </w:pPr>
      <w:r>
        <w:rPr>
          <w:sz w:val="22"/>
          <w:szCs w:val="22"/>
        </w:rPr>
        <w:t xml:space="preserve">Terms of service of news archives that prohibit systematic redistribution.</w:t>
      </w:r>
    </w:p>
    <w:p>
      <w:pPr>
        <w:spacing w:after="80" w:before="80"/>
      </w:pPr>
    </w:p>
    <w:p>
      <w:r>
        <w:rPr>
          <w:sz w:val="22"/>
          <w:szCs w:val="22"/>
        </w:rPr>
        <w:t xml:space="preserve">Affected document types include NGO archival compilations, commission annexures, media-derived transcripts, and certain institutional PDF compilations. The repository therefore provides metadata, retrieval pathways, and reconstruction guidance. The synthetic datasets and demonstration notebooks allow full computational verification of the pipeline independently of the original documents.</w:t>
      </w:r>
    </w:p>
    <w:p>
      <w:pPr>
        <w:pBdr>
          <w:bottom w:val="single" w:color="CCCCCC" w:sz="6" w:space="1"/>
        </w:pBdr>
        <w:spacing w:after="120"/>
      </w:pPr>
    </w:p>
    <w:p>
      <w:pPr>
        <w:pStyle w:val="Heading1"/>
      </w:pPr>
      <w:r>
        <w:t xml:space="preserve">6. Primary Source Retrieval</w:t>
      </w:r>
    </w:p>
    <w:p>
      <w:r>
        <w:rPr>
          <w:sz w:val="22"/>
          <w:szCs w:val="22"/>
        </w:rPr>
        <w:t xml:space="preserve">The following primary sources are referenced in the manuscript and SI. All are publicly accessible. Direct retrieval information is provided for each.</w:t>
      </w:r>
    </w:p>
    <w:p>
      <w:pPr>
        <w:pStyle w:val="Heading2"/>
      </w:pPr>
      <w:r>
        <w:t xml:space="preserve">6.1 Farlam Commission Report (2015)</w:t>
      </w:r>
    </w:p>
    <w:p>
      <w:r>
        <w:rPr>
          <w:b/>
          <w:bCs/>
          <w:sz w:val="22"/>
          <w:szCs w:val="22"/>
        </w:rPr>
        <w:t xml:space="preserve">Full title: </w:t>
      </w:r>
      <w:r>
        <w:rPr>
          <w:sz w:val="22"/>
          <w:szCs w:val="22"/>
        </w:rPr>
        <w:t xml:space="preserve">Report of the Marikana Commission of Inquiry</w:t>
      </w:r>
    </w:p>
    <w:p>
      <w:r>
        <w:rPr>
          <w:b/>
          <w:bCs/>
          <w:sz w:val="22"/>
          <w:szCs w:val="22"/>
        </w:rPr>
        <w:t xml:space="preserve">Publisher: </w:t>
      </w:r>
      <w:r>
        <w:rPr>
          <w:sz w:val="22"/>
          <w:szCs w:val="22"/>
        </w:rPr>
        <w:t xml:space="preserve">Republic of South Africa</w:t>
      </w:r>
    </w:p>
    <w:p>
      <w:r>
        <w:rPr>
          <w:b/>
          <w:bCs/>
          <w:sz w:val="22"/>
          <w:szCs w:val="22"/>
        </w:rPr>
        <w:t xml:space="preserve">URL: </w:t>
      </w:r>
      <w:r>
        <w:rPr>
          <w:sz w:val="22"/>
          <w:szCs w:val="22"/>
        </w:rPr>
        <w:t xml:space="preserve">https://www.gov.za/sites/default/files/gcis_document/201506/marikana-report-final.pdf</w:t>
      </w:r>
    </w:p>
    <w:p>
      <w:r>
        <w:rPr>
          <w:b/>
          <w:bCs/>
          <w:sz w:val="22"/>
          <w:szCs w:val="22"/>
        </w:rPr>
        <w:t xml:space="preserve">Access notes: </w:t>
      </w:r>
      <w:r>
        <w:rPr>
          <w:sz w:val="22"/>
          <w:szCs w:val="22"/>
        </w:rPr>
        <w:t xml:space="preserve">Large PDF (~1,600 pages). Chapters 6–8 (events of 16 August 2012) and Chapter 14 (stakeholder accountability) are the primary analytical source. The corpus manifest identifies the specific chapters used.</w:t>
      </w:r>
    </w:p>
    <w:p>
      <w:pPr>
        <w:pStyle w:val="Heading2"/>
      </w:pPr>
      <w:r>
        <w:t xml:space="preserve">6.2 Bench Marks Foundation Reports</w:t>
      </w:r>
    </w:p>
    <w:p>
      <w:r>
        <w:rPr>
          <w:b/>
          <w:bCs/>
          <w:sz w:val="22"/>
          <w:szCs w:val="22"/>
        </w:rPr>
        <w:t xml:space="preserve">Policy Gap 6 (2012): </w:t>
      </w:r>
      <w:r>
        <w:rPr>
          <w:sz w:val="22"/>
          <w:szCs w:val="22"/>
        </w:rPr>
        <w:t xml:space="preserve">Corporate Social Responsibility in the Platinum Mining Industry</w:t>
      </w:r>
    </w:p>
    <w:p>
      <w:r>
        <w:rPr>
          <w:sz w:val="22"/>
          <w:szCs w:val="22"/>
        </w:rPr>
        <w:t xml:space="preserve">URL: https://www.bench-marks.org.za/research/policy-gap-6/</w:t>
      </w:r>
    </w:p>
    <w:p>
      <w:pPr>
        <w:spacing w:after="60" w:before="60"/>
      </w:pPr>
    </w:p>
    <w:p>
      <w:r>
        <w:rPr>
          <w:b/>
          <w:bCs/>
          <w:sz w:val="22"/>
          <w:szCs w:val="22"/>
        </w:rPr>
        <w:t xml:space="preserve">Policy Gap 10 (2016): </w:t>
      </w:r>
      <w:r>
        <w:rPr>
          <w:sz w:val="22"/>
          <w:szCs w:val="22"/>
        </w:rPr>
        <w:t xml:space="preserve">A Review of Platinum Mining in the Bojanala District</w:t>
      </w:r>
    </w:p>
    <w:p>
      <w:r>
        <w:rPr>
          <w:sz w:val="22"/>
          <w:szCs w:val="22"/>
        </w:rPr>
        <w:t xml:space="preserve">URL: https://www.bench-marks.org.za/research/policy-gap-10/</w:t>
      </w:r>
    </w:p>
    <w:p>
      <w:pPr>
        <w:spacing w:after="60" w:before="60"/>
      </w:pPr>
    </w:p>
    <w:p>
      <w:r>
        <w:rPr>
          <w:sz w:val="22"/>
          <w:szCs w:val="22"/>
        </w:rPr>
        <w:t xml:space="preserve">Access notes: Both reports are available for free download. If URLs become unavailable, reports are archived at https://archive.org.</w:t>
      </w:r>
    </w:p>
    <w:p>
      <w:pPr>
        <w:pStyle w:val="Heading2"/>
      </w:pPr>
      <w:r>
        <w:t xml:space="preserve">6.3 SERI — Nkaneng Report (2013)</w:t>
      </w:r>
    </w:p>
    <w:p>
      <w:r>
        <w:rPr>
          <w:b/>
          <w:bCs/>
          <w:sz w:val="22"/>
          <w:szCs w:val="22"/>
        </w:rPr>
        <w:t xml:space="preserve">Full title: </w:t>
      </w:r>
      <w:r>
        <w:rPr>
          <w:sz w:val="22"/>
          <w:szCs w:val="22"/>
        </w:rPr>
        <w:t xml:space="preserve">Displacement and Relocation in the Nkaneng Informal Settlement</w:t>
      </w:r>
    </w:p>
    <w:p>
      <w:r>
        <w:rPr>
          <w:b/>
          <w:bCs/>
          <w:sz w:val="22"/>
          <w:szCs w:val="22"/>
        </w:rPr>
        <w:t xml:space="preserve">Publisher: </w:t>
      </w:r>
      <w:r>
        <w:rPr>
          <w:sz w:val="22"/>
          <w:szCs w:val="22"/>
        </w:rPr>
        <w:t xml:space="preserve">Socio-Economic Rights Institute of South Africa</w:t>
      </w:r>
    </w:p>
    <w:p>
      <w:r>
        <w:rPr>
          <w:b/>
          <w:bCs/>
          <w:sz w:val="22"/>
          <w:szCs w:val="22"/>
        </w:rPr>
        <w:t xml:space="preserve">URL: </w:t>
      </w:r>
      <w:r>
        <w:rPr>
          <w:sz w:val="22"/>
          <w:szCs w:val="22"/>
        </w:rPr>
        <w:t xml:space="preserve">https://www.seri-sa.org/images/SERI_Nkaneng_report_2013.pdf</w:t>
      </w:r>
    </w:p>
    <w:p>
      <w:r>
        <w:rPr>
          <w:b/>
          <w:bCs/>
          <w:sz w:val="22"/>
          <w:szCs w:val="22"/>
        </w:rPr>
        <w:t xml:space="preserve">Access notes: </w:t>
      </w:r>
      <w:r>
        <w:rPr>
          <w:sz w:val="22"/>
          <w:szCs w:val="22"/>
        </w:rPr>
        <w:t xml:space="preserve">Direct PDF download. Also available via https://www.seri-sa.org/index.php/publications.</w:t>
      </w:r>
    </w:p>
    <w:p>
      <w:pPr>
        <w:pStyle w:val="Heading2"/>
      </w:pPr>
      <w:r>
        <w:t xml:space="preserve">6.4 Mining Charter III (2018)</w:t>
      </w:r>
    </w:p>
    <w:p>
      <w:r>
        <w:rPr>
          <w:b/>
          <w:bCs/>
          <w:sz w:val="22"/>
          <w:szCs w:val="22"/>
        </w:rPr>
        <w:t xml:space="preserve">Full title: </w:t>
      </w:r>
      <w:r>
        <w:rPr>
          <w:sz w:val="22"/>
          <w:szCs w:val="22"/>
        </w:rPr>
        <w:t xml:space="preserve">Broad-Based Socio-Economic Empowerment Charter for the Mining and Minerals Industry, 2018</w:t>
      </w:r>
    </w:p>
    <w:p>
      <w:r>
        <w:rPr>
          <w:b/>
          <w:bCs/>
          <w:sz w:val="22"/>
          <w:szCs w:val="22"/>
        </w:rPr>
        <w:t xml:space="preserve">Publisher: </w:t>
      </w:r>
      <w:r>
        <w:rPr>
          <w:sz w:val="22"/>
          <w:szCs w:val="22"/>
        </w:rPr>
        <w:t xml:space="preserve">Department of Mineral Resources and Energy (DMRE), Republic of South Africa</w:t>
      </w:r>
    </w:p>
    <w:p>
      <w:r>
        <w:rPr>
          <w:b/>
          <w:bCs/>
          <w:sz w:val="22"/>
          <w:szCs w:val="22"/>
        </w:rPr>
        <w:t xml:space="preserve">Government Gazette No.: </w:t>
      </w:r>
      <w:r>
        <w:rPr>
          <w:sz w:val="22"/>
          <w:szCs w:val="22"/>
        </w:rPr>
        <w:t xml:space="preserve">41934</w:t>
      </w:r>
    </w:p>
    <w:p>
      <w:r>
        <w:rPr>
          <w:b/>
          <w:bCs/>
          <w:sz w:val="22"/>
          <w:szCs w:val="22"/>
        </w:rPr>
        <w:t xml:space="preserve">URL: </w:t>
      </w:r>
      <w:r>
        <w:rPr>
          <w:sz w:val="22"/>
          <w:szCs w:val="22"/>
        </w:rPr>
        <w:t xml:space="preserve">https://www.dmr.gov.za/Portals/0/Resources/Mining%20Charter/MINING%20CHARTER%202018.pdf</w:t>
      </w:r>
    </w:p>
    <w:p>
      <w:pPr>
        <w:pStyle w:val="Heading2"/>
      </w:pPr>
      <w:r>
        <w:t xml:space="preserve">6.5 World Bank Worldwide Governance Indicators (WGI)</w:t>
      </w:r>
    </w:p>
    <w:p>
      <w:r>
        <w:rPr>
          <w:b/>
          <w:bCs/>
          <w:sz w:val="22"/>
          <w:szCs w:val="22"/>
        </w:rPr>
        <w:t xml:space="preserve">Publisher: </w:t>
      </w:r>
      <w:r>
        <w:rPr>
          <w:sz w:val="22"/>
          <w:szCs w:val="22"/>
        </w:rPr>
        <w:t xml:space="preserve">World Bank Group</w:t>
      </w:r>
    </w:p>
    <w:p>
      <w:r>
        <w:rPr>
          <w:b/>
          <w:bCs/>
          <w:sz w:val="22"/>
          <w:szCs w:val="22"/>
        </w:rPr>
        <w:t xml:space="preserve">Coverage used: </w:t>
      </w:r>
      <w:r>
        <w:rPr>
          <w:sz w:val="22"/>
          <w:szCs w:val="22"/>
        </w:rPr>
        <w:t xml:space="preserve">South Africa, indicators 2010–2023</w:t>
      </w:r>
    </w:p>
    <w:p>
      <w:r>
        <w:rPr>
          <w:b/>
          <w:bCs/>
          <w:sz w:val="22"/>
          <w:szCs w:val="22"/>
        </w:rPr>
        <w:t xml:space="preserve">Indicators used: </w:t>
      </w:r>
      <w:r>
        <w:rPr>
          <w:sz w:val="22"/>
          <w:szCs w:val="22"/>
        </w:rPr>
        <w:t xml:space="preserve">Voice and Accountability (VA.EST), Rule of Law (RL.EST), Government Effectiveness (GE.EST), Control of Corruption (CC.EST)</w:t>
      </w:r>
    </w:p>
    <w:p>
      <w:r>
        <w:rPr>
          <w:b/>
          <w:bCs/>
          <w:sz w:val="22"/>
          <w:szCs w:val="22"/>
        </w:rPr>
        <w:t xml:space="preserve">API endpoint: </w:t>
      </w:r>
      <w:r>
        <w:rPr>
          <w:sz w:val="22"/>
          <w:szCs w:val="22"/>
        </w:rPr>
        <w:t xml:space="preserve"/>
      </w:r>
    </w:p>
    <w:p>
      <w:pPr>
        <w:spacing w:after="60" w:before="60"/>
        <w:ind w:left="720"/>
      </w:pPr>
      <w:r>
        <w:rPr>
          <w:rFonts w:ascii="Courier New" w:cs="Courier New" w:eastAsia="Courier New" w:hAnsi="Courier New"/>
          <w:color w:val="2E4057"/>
          <w:sz w:val="18"/>
          <w:szCs w:val="18"/>
        </w:rPr>
        <w:t xml:space="preserve">https://api.worldbank.org/v2/country/ZAF/indicator/{INDICATOR_CODE}?date=2010:2023&amp;format=json</w:t>
      </w:r>
    </w:p>
    <w:p>
      <w:r>
        <w:rPr>
          <w:b/>
          <w:bCs/>
          <w:sz w:val="22"/>
          <w:szCs w:val="22"/>
        </w:rPr>
        <w:t xml:space="preserve">Interactive portal: </w:t>
      </w:r>
      <w:r>
        <w:rPr>
          <w:sz w:val="22"/>
          <w:szCs w:val="22"/>
        </w:rPr>
        <w:t xml:space="preserve">https://info.worldbank.org/governance/wgi/</w:t>
      </w:r>
    </w:p>
    <w:p>
      <w:r>
        <w:rPr>
          <w:b/>
          <w:bCs/>
          <w:sz w:val="22"/>
          <w:szCs w:val="22"/>
        </w:rPr>
        <w:t xml:space="preserve">Normalisation applied: </w:t>
      </w:r>
      <w:r>
        <w:rPr>
          <w:sz w:val="22"/>
          <w:szCs w:val="22"/>
        </w:rPr>
        <w:t xml:space="preserve">X_normalised = (WGI_raw + 2.5) / 5.0 (SI Section C.2, Equation C.1)</w:t>
      </w:r>
    </w:p>
    <w:p>
      <w:r>
        <w:rPr>
          <w:b/>
          <w:bCs/>
          <w:sz w:val="22"/>
          <w:szCs w:val="22"/>
        </w:rPr>
        <w:t xml:space="preserve">Retrieval script: </w:t>
      </w:r>
      <w:r>
        <w:rPr>
          <w:sz w:val="22"/>
          <w:szCs w:val="22"/>
        </w:rPr>
        <w:t xml:space="preserve">code/fetch_wgi.py — fetches all four indicators, applies normalisation, writes to data/processed/wgi_south_africa.csv</w:t>
      </w:r>
    </w:p>
    <w:p>
      <w:pPr>
        <w:pStyle w:val="Heading2"/>
      </w:pPr>
      <w:r>
        <w:t xml:space="preserve">6.6 Extractive Industries Transparency Initiative (EITI)</w:t>
      </w:r>
    </w:p>
    <w:p>
      <w:r>
        <w:rPr>
          <w:b/>
          <w:bCs/>
          <w:sz w:val="22"/>
          <w:szCs w:val="22"/>
        </w:rPr>
        <w:t xml:space="preserve">Publisher: </w:t>
      </w:r>
      <w:r>
        <w:rPr>
          <w:sz w:val="22"/>
          <w:szCs w:val="22"/>
        </w:rPr>
        <w:t xml:space="preserve">EITI International Secretariat</w:t>
      </w:r>
    </w:p>
    <w:p>
      <w:r>
        <w:rPr>
          <w:b/>
          <w:bCs/>
          <w:sz w:val="22"/>
          <w:szCs w:val="22"/>
        </w:rPr>
        <w:t xml:space="preserve">Portal: </w:t>
      </w:r>
      <w:r>
        <w:rPr>
          <w:sz w:val="22"/>
          <w:szCs w:val="22"/>
        </w:rPr>
        <w:t xml:space="preserve">https://eiti.org/south-africa</w:t>
      </w:r>
    </w:p>
    <w:p>
      <w:r>
        <w:rPr>
          <w:b/>
          <w:bCs/>
          <w:sz w:val="22"/>
          <w:szCs w:val="22"/>
        </w:rPr>
        <w:t xml:space="preserve">API base URL: </w:t>
      </w:r>
      <w:r>
        <w:rPr>
          <w:sz w:val="22"/>
          <w:szCs w:val="22"/>
        </w:rPr>
        <w:t xml:space="preserve">https://eiti.org/api/v1.0/</w:t>
      </w:r>
    </w:p>
    <w:p>
      <w:r>
        <w:rPr>
          <w:b/>
          <w:bCs/>
          <w:sz w:val="22"/>
          <w:szCs w:val="22"/>
        </w:rPr>
        <w:t xml:space="preserve">Relevant endpoint: </w:t>
      </w:r>
      <w:r>
        <w:rPr>
          <w:sz w:val="22"/>
          <w:szCs w:val="22"/>
        </w:rPr>
        <w:t xml:space="preserve"/>
      </w:r>
    </w:p>
    <w:p>
      <w:pPr>
        <w:spacing w:after="60" w:before="60"/>
        <w:ind w:left="720"/>
      </w:pPr>
      <w:r>
        <w:rPr>
          <w:rFonts w:ascii="Courier New" w:cs="Courier New" w:eastAsia="Courier New" w:hAnsi="Courier New"/>
          <w:color w:val="2E4057"/>
          <w:sz w:val="18"/>
          <w:szCs w:val="18"/>
        </w:rPr>
        <w:t xml:space="preserve">https://eiti.org/api/v1.0/summary_data?country_code=ZA</w:t>
      </w:r>
    </w:p>
    <w:p>
      <w:r>
        <w:rPr>
          <w:b/>
          <w:bCs/>
          <w:sz w:val="22"/>
          <w:szCs w:val="22"/>
        </w:rPr>
        <w:t xml:space="preserve">Retrieval script: </w:t>
      </w:r>
      <w:r>
        <w:rPr>
          <w:sz w:val="22"/>
          <w:szCs w:val="22"/>
        </w:rPr>
        <w:t xml:space="preserve">code/fetch_eiti.py</w:t>
      </w:r>
    </w:p>
    <w:p>
      <w:r>
        <w:rPr>
          <w:sz w:val="22"/>
          <w:szCs w:val="22"/>
        </w:rPr>
        <w:t xml:space="preserve">Access notes: The EITI API returns JSON. Not all years may have complete data for South Africa. Where data is unavailable, the corpus manifest notes column records the fallback source used.</w:t>
      </w:r>
    </w:p>
    <w:p>
      <w:pPr>
        <w:pStyle w:val="Heading2"/>
      </w:pPr>
      <w:r>
        <w:t xml:space="preserve">6.7 News Archive Sources</w:t>
      </w:r>
    </w:p>
    <w:p>
      <w:r>
        <w:rPr>
          <w:sz w:val="22"/>
          <w:szCs w:val="22"/>
        </w:rPr>
        <w:t xml:space="preserve">News articles were sourced from Mining Weekly and Engineering News. Specific articles are identified by URL in the corpus manifest (url_or_doi column). Wayback Machine snapshots are recorded in the notes column for all media-derived documents. Access pattern:</w:t>
      </w:r>
    </w:p>
    <w:p>
      <w:pPr>
        <w:spacing w:after="60" w:before="60"/>
        <w:ind w:left="720"/>
      </w:pPr>
      <w:r>
        <w:rPr>
          <w:rFonts w:ascii="Courier New" w:cs="Courier New" w:eastAsia="Courier New" w:hAnsi="Courier New"/>
          <w:color w:val="2E4057"/>
          <w:sz w:val="18"/>
          <w:szCs w:val="18"/>
        </w:rPr>
        <w:t xml:space="preserve">https://web.archive.org/web/{snapshot_id}/{original_url}</w:t>
      </w:r>
    </w:p>
    <w:p>
      <w:r>
        <w:rPr>
          <w:sz w:val="22"/>
          <w:szCs w:val="22"/>
        </w:rPr>
        <w:t xml:space="preserve">These articles are marked restricted in the manifest and cannot be redistributed; however, each can be retrieved independently via its manifest URL or archived snapshot.</w:t>
      </w:r>
    </w:p>
    <w:p>
      <w:pPr>
        <w:pBdr>
          <w:bottom w:val="single" w:color="CCCCCC" w:sz="6" w:space="1"/>
        </w:pBdr>
        <w:spacing w:after="120"/>
      </w:pPr>
    </w:p>
    <w:p>
      <w:pPr>
        <w:pStyle w:val="Heading1"/>
      </w:pPr>
      <w:r>
        <w:t xml:space="preserve">7. Corpus Annotation Protocol</w:t>
      </w:r>
    </w:p>
    <w:p>
      <w:r>
        <w:rPr>
          <w:sz w:val="22"/>
          <w:szCs w:val="22"/>
        </w:rPr>
        <w:t xml:space="preserve">The 87-document corpus was annotated for binary stance classification: pro-integration (label = 1) — documents expressing support for integrated investment–regulatory–stakeholder governance — versus resistant (label = 0) — documents expressing opposition, scepticism, or calls for withdrawal from cooperative governance frameworks.</w:t>
      </w:r>
    </w:p>
    <w:p>
      <w:pPr>
        <w:pStyle w:val="Heading2"/>
      </w:pPr>
      <w:r>
        <w:t xml:space="preserve">7.1 Annotation Procedure</w:t>
      </w:r>
    </w:p>
    <w:p>
      <w:pPr>
        <w:pStyle w:val="ListParagraph"/>
        <w:numPr>
          <w:ilvl w:val="0"/>
          <w:numId w:val="2"/>
        </w:numPr>
      </w:pPr>
      <w:r>
        <w:rPr>
          <w:sz w:val="22"/>
          <w:szCs w:val="22"/>
        </w:rPr>
        <w:t xml:space="preserve">Each document was read in full by two independent annotators with domain knowledge in African mining governance.</w:t>
      </w:r>
    </w:p>
    <w:p>
      <w:pPr>
        <w:pStyle w:val="ListParagraph"/>
        <w:numPr>
          <w:ilvl w:val="0"/>
          <w:numId w:val="2"/>
        </w:numPr>
      </w:pPr>
      <w:r>
        <w:rPr>
          <w:sz w:val="22"/>
          <w:szCs w:val="22"/>
        </w:rPr>
        <w:t xml:space="preserve">Annotators applied the label independently, guided by a structured coding protocol (docs/annotation_protocol.docx) that defines pro-integration and resistant indicators with worked examples drawn from the Marikana context.</w:t>
      </w:r>
    </w:p>
    <w:p>
      <w:pPr>
        <w:pStyle w:val="ListParagraph"/>
        <w:numPr>
          <w:ilvl w:val="0"/>
          <w:numId w:val="2"/>
        </w:numPr>
      </w:pPr>
      <w:r>
        <w:rPr>
          <w:sz w:val="22"/>
          <w:szCs w:val="22"/>
        </w:rPr>
        <w:t xml:space="preserve">Disagreements were resolved through discussion. Where consensus could not be reached, a third annotator arbitrated.</w:t>
      </w:r>
    </w:p>
    <w:p>
      <w:pPr>
        <w:pStyle w:val="ListParagraph"/>
        <w:numPr>
          <w:ilvl w:val="0"/>
          <w:numId w:val="2"/>
        </w:numPr>
      </w:pPr>
      <w:r>
        <w:rPr>
          <w:sz w:val="22"/>
          <w:szCs w:val="22"/>
        </w:rPr>
        <w:t xml:space="preserve">Inter-annotator agreement was computed using Cohen's κ. The corpus-level κ = 0.71 (substantial agreement per Landis &amp; Koch, 1977). Per-document κ values are recorded in the annotator_agreement column of the corpus manifest.</w:t>
      </w:r>
    </w:p>
    <w:p>
      <w:pPr>
        <w:pStyle w:val="Heading2"/>
      </w:pPr>
      <w:r>
        <w:t xml:space="preserve">7.2 Class Composition</w:t>
      </w:r>
    </w:p>
    <w:p>
      <w:r>
        <w:rPr>
          <w:sz w:val="22"/>
          <w:szCs w:val="22"/>
        </w:rPr>
        <w:t xml:space="preserve">Of 87 documents: 71 were labelled pro-integration (82%) and 16 resistant (18%). This imbalance reflects the post-Marikana documentary record. The SVM was trained with class_weight='balanced' to counteract this imbalance. See SI Section B.4 and Table 6 of the main text for classifier performance metrics (Accuracy: 81.6%; F1: 0.837; Cohen's κ: 0.628).</w:t>
      </w:r>
    </w:p>
    <w:p>
      <w:pPr>
        <w:pStyle w:val="Heading2"/>
      </w:pPr>
      <w:r>
        <w:t xml:space="preserve">7.3 Relationship to SI Appendix B</w:t>
      </w:r>
    </w:p>
    <w:p>
      <w:r>
        <w:rPr>
          <w:sz w:val="22"/>
          <w:szCs w:val="22"/>
        </w:rPr>
        <w:t xml:space="preserve">The full annotation protocol, lexicon construction procedure, and SVM parameter settings are documented in SI Appendix B (Sections B.2–B.4). The corpus manifest records per-document labels. Together, these are sufficient to retrain the classifier on a reconstructed corpus.</w:t>
      </w:r>
    </w:p>
    <w:p>
      <w:pPr>
        <w:pBdr>
          <w:bottom w:val="single" w:color="CCCCCC" w:sz="6" w:space="1"/>
        </w:pBdr>
        <w:spacing w:after="120"/>
      </w:pPr>
    </w:p>
    <w:p>
      <w:pPr>
        <w:pStyle w:val="Heading1"/>
      </w:pPr>
      <w:r>
        <w:t xml:space="preserve">8. Execution Order for Full Reproduction</w:t>
      </w:r>
    </w:p>
    <w:p>
      <w:r>
        <w:rPr>
          <w:sz w:val="22"/>
          <w:szCs w:val="22"/>
        </w:rPr>
        <w:t xml:space="preserve">The following sequence reproduces all numerical results reported in the manuscript and SI. Run from the repository root.</w:t>
      </w:r>
    </w:p>
    <w:p>
      <w:pPr>
        <w:pStyle w:val="Heading3"/>
      </w:pPr>
      <w:r>
        <w:t xml:space="preserve">Step 1 — Install dependencies</w:t>
      </w:r>
    </w:p>
    <w:p>
      <w:pPr>
        <w:spacing w:after="60" w:before="60"/>
        <w:ind w:left="720"/>
      </w:pPr>
      <w:r>
        <w:rPr>
          <w:rFonts w:ascii="Courier New" w:cs="Courier New" w:eastAsia="Courier New" w:hAnsi="Courier New"/>
          <w:color w:val="2E4057"/>
          <w:sz w:val="18"/>
          <w:szCs w:val="18"/>
        </w:rPr>
        <w:t xml:space="preserve">pip install -r requirements.txt</w:t>
      </w:r>
    </w:p>
    <w:p>
      <w:r>
        <w:rPr>
          <w:sz w:val="22"/>
          <w:szCs w:val="22"/>
        </w:rPr>
        <w:t xml:space="preserve">Verified environment: scikit-learn 1.4.2, numpy 1.26.4, Python 3.10+</w:t>
      </w:r>
    </w:p>
    <w:p>
      <w:pPr>
        <w:pStyle w:val="Heading3"/>
      </w:pPr>
      <w:r>
        <w:t xml:space="preserve">Step 2 — Retrieve public-source data</w:t>
      </w:r>
    </w:p>
    <w:p>
      <w:pPr>
        <w:spacing w:after="60" w:before="60"/>
        <w:ind w:left="720"/>
      </w:pPr>
      <w:r>
        <w:rPr>
          <w:rFonts w:ascii="Courier New" w:cs="Courier New" w:eastAsia="Courier New" w:hAnsi="Courier New"/>
          <w:color w:val="2E4057"/>
          <w:sz w:val="18"/>
          <w:szCs w:val="18"/>
        </w:rPr>
        <w:t xml:space="preserve">python code/fetch_wgi.py</w:t>
      </w:r>
    </w:p>
    <w:p>
      <w:pPr>
        <w:spacing w:after="60" w:before="60"/>
        <w:ind w:left="720"/>
      </w:pPr>
      <w:r>
        <w:rPr>
          <w:rFonts w:ascii="Courier New" w:cs="Courier New" w:eastAsia="Courier New" w:hAnsi="Courier New"/>
          <w:color w:val="2E4057"/>
          <w:sz w:val="18"/>
          <w:szCs w:val="18"/>
        </w:rPr>
        <w:t xml:space="preserve">python code/fetch_eiti.py</w:t>
      </w:r>
    </w:p>
    <w:p>
      <w:r>
        <w:rPr>
          <w:sz w:val="22"/>
          <w:szCs w:val="22"/>
        </w:rPr>
        <w:t xml:space="preserve">Both scripts write to data/processed/. Runtime: ~2 minutes depending on API response times.</w:t>
      </w:r>
    </w:p>
    <w:p>
      <w:pPr>
        <w:pStyle w:val="Heading3"/>
      </w:pPr>
      <w:r>
        <w:t xml:space="preserve">Step 3 — Reconstruct or verify the corpus</w:t>
      </w:r>
    </w:p>
    <w:p>
      <w:pPr>
        <w:spacing w:after="60" w:before="60"/>
        <w:ind w:left="720"/>
      </w:pPr>
      <w:r>
        <w:rPr>
          <w:rFonts w:ascii="Courier New" w:cs="Courier New" w:eastAsia="Courier New" w:hAnsi="Courier New"/>
          <w:color w:val="2E4057"/>
          <w:sz w:val="18"/>
          <w:szCs w:val="18"/>
        </w:rPr>
        <w:t xml:space="preserve">python code/preprocess_corpus.py --manifest data/corpus_manifest.csv --input_dir /path/to/documents --output_dir data/processed/</w:t>
      </w:r>
    </w:p>
    <w:p>
      <w:r>
        <w:rPr>
          <w:sz w:val="22"/>
          <w:szCs w:val="22"/>
        </w:rPr>
        <w:t xml:space="preserve">Applies tokenisation, stopword removal, and TF-IDF vectorisation as specified in SI Section B.1. To verify the pipeline using synthetic data only, skip this step.</w:t>
      </w:r>
    </w:p>
    <w:p>
      <w:pPr>
        <w:pStyle w:val="Heading3"/>
      </w:pPr>
      <w:r>
        <w:t xml:space="preserve">Step 4 — Compute stakeholder salience scores (P, L, U) and SIC values</w:t>
      </w:r>
    </w:p>
    <w:p>
      <w:pPr>
        <w:spacing w:after="60" w:before="60"/>
        <w:ind w:left="720"/>
      </w:pPr>
      <w:r>
        <w:rPr>
          <w:rFonts w:ascii="Courier New" w:cs="Courier New" w:eastAsia="Courier New" w:hAnsi="Courier New"/>
          <w:color w:val="2E4057"/>
          <w:sz w:val="18"/>
          <w:szCs w:val="18"/>
        </w:rPr>
        <w:t xml:space="preserve">python code/plu_scoring.py</w:t>
      </w:r>
    </w:p>
    <w:p>
      <w:r>
        <w:rPr>
          <w:sz w:val="22"/>
          <w:szCs w:val="22"/>
        </w:rPr>
        <w:t xml:space="preserve">Reproduces all 15 P/L/U scores and five SIC values in Table 3 of the main text (SI Appendix C, Sections C.3–C.7).</w:t>
      </w:r>
    </w:p>
    <w:p>
      <w:pPr>
        <w:pStyle w:val="Heading3"/>
      </w:pPr>
      <w:r>
        <w:t xml:space="preserve">Step 5 — Run the NLP–SVM pipeline</w:t>
      </w:r>
    </w:p>
    <w:p>
      <w:pPr>
        <w:spacing w:after="60" w:before="60"/>
        <w:ind w:left="720"/>
      </w:pPr>
      <w:r>
        <w:rPr>
          <w:rFonts w:ascii="Courier New" w:cs="Courier New" w:eastAsia="Courier New" w:hAnsi="Courier New"/>
          <w:color w:val="2E4057"/>
          <w:sz w:val="18"/>
          <w:szCs w:val="18"/>
        </w:rPr>
        <w:t xml:space="preserve">python code/nlp_svm_pipeline.py</w:t>
      </w:r>
    </w:p>
    <w:p>
      <w:r>
        <w:rPr>
          <w:sz w:val="22"/>
          <w:szCs w:val="22"/>
        </w:rPr>
        <w:t xml:space="preserve">Trains the SVM classifier (RBF kernel, C=1.0, γ='scale', class_weight='balanced') with stratified 5-fold cross-validation. Reproduces Table 6 of the main text.</w:t>
      </w:r>
    </w:p>
    <w:p>
      <w:pPr>
        <w:pStyle w:val="Heading3"/>
      </w:pPr>
      <w:r>
        <w:t xml:space="preserve">Step 6 — Compute PCI, RPCI, and scenario results</w:t>
      </w:r>
    </w:p>
    <w:p>
      <w:pPr>
        <w:spacing w:after="60" w:before="60"/>
        <w:ind w:left="720"/>
      </w:pPr>
      <w:r>
        <w:rPr>
          <w:rFonts w:ascii="Courier New" w:cs="Courier New" w:eastAsia="Courier New" w:hAnsi="Courier New"/>
          <w:color w:val="2E4057"/>
          <w:sz w:val="18"/>
          <w:szCs w:val="18"/>
        </w:rPr>
        <w:t xml:space="preserve">python code/pci_computation.py</w:t>
      </w:r>
    </w:p>
    <w:p>
      <w:r>
        <w:rPr>
          <w:sz w:val="22"/>
          <w:szCs w:val="22"/>
        </w:rPr>
        <w:t xml:space="preserve">Reproduces PCI values for all three Marikana scenarios: Scenario A = 0.456, Scenario B = 0.665, Scenario C = 0.781. Also computes RPCI values (0.407, 0.638, 0.752 at λ = 0.10).</w:t>
      </w:r>
    </w:p>
    <w:p>
      <w:pPr>
        <w:pStyle w:val="Heading3"/>
      </w:pPr>
      <w:r>
        <w:t xml:space="preserve">Step 7 — Run Monte Carlo robustness analysis</w:t>
      </w:r>
    </w:p>
    <w:p>
      <w:pPr>
        <w:spacing w:after="60" w:before="60"/>
        <w:ind w:left="720"/>
      </w:pPr>
      <w:r>
        <w:rPr>
          <w:rFonts w:ascii="Courier New" w:cs="Courier New" w:eastAsia="Courier New" w:hAnsi="Courier New"/>
          <w:color w:val="2E4057"/>
          <w:sz w:val="18"/>
          <w:szCs w:val="18"/>
        </w:rPr>
        <w:t xml:space="preserve">python code/pci_computation.py --monte_carlo --n 10000</w:t>
      </w:r>
    </w:p>
    <w:p>
      <w:r>
        <w:rPr>
          <w:sz w:val="22"/>
          <w:szCs w:val="22"/>
        </w:rPr>
        <w:t xml:space="preserve">Reproduces P(PCI ≥ 0.70) = 99.5%. Runtime: ~3–5 minutes.</w:t>
      </w:r>
    </w:p>
    <w:p>
      <w:pPr>
        <w:pStyle w:val="Heading3"/>
      </w:pPr>
      <w:r>
        <w:t xml:space="preserve">Step 8 — Interactive notebook (optional)</w:t>
      </w:r>
    </w:p>
    <w:p>
      <w:pPr>
        <w:spacing w:after="60" w:before="60"/>
        <w:ind w:left="720"/>
      </w:pPr>
      <w:r>
        <w:rPr>
          <w:rFonts w:ascii="Courier New" w:cs="Courier New" w:eastAsia="Courier New" w:hAnsi="Courier New"/>
          <w:color w:val="2E4057"/>
          <w:sz w:val="18"/>
          <w:szCs w:val="18"/>
        </w:rPr>
        <w:t xml:space="preserve">jupyter notebook notebooks/scipra_demo.ipynb</w:t>
      </w:r>
    </w:p>
    <w:p>
      <w:r>
        <w:rPr>
          <w:sz w:val="22"/>
          <w:szCs w:val="22"/>
        </w:rPr>
        <w:t xml:space="preserve">End-to-end walkthrough using synthetic data for methodological verification without the original corpus.</w:t>
      </w:r>
    </w:p>
    <w:p>
      <w:pPr>
        <w:pBdr>
          <w:bottom w:val="single" w:color="CCCCCC" w:sz="6" w:space="1"/>
        </w:pBdr>
        <w:spacing w:after="120"/>
      </w:pPr>
    </w:p>
    <w:p>
      <w:pPr>
        <w:pStyle w:val="Heading1"/>
      </w:pPr>
      <w:r>
        <w:t xml:space="preserve">9. Reproducibility Status Summary</w:t>
      </w:r>
    </w:p>
    <w:p>
      <w:pPr>
        <w:spacing w:after="12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80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What enables reproduction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PCI / RPCI calculations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code/pci_computation.py + Equations 4–8, SI Appendix A</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SIC computations</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code/plu_scoring.py + SI Appendix 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Monte Carlo simulation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code/pci_computation.py --monte_carlo</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Mathematical proofs</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SI Appendix A (self-contained)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NLP–SVM pipeline (synthetic)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code/nlp_svm_pipeline.py + demo data</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NLP–SVM pipeline (original corpus)</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Conditionally reproducible</w:t>
            </w:r>
          </w:p>
        </w:tc>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Corpus reconstructable via manifest + §6 above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Stakeholder P/L/U scores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code/plu_scoring.py + SI Appendix C</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FAHP weighting structure</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Fully reproducible</w:t>
            </w:r>
          </w:p>
        </w:tc>
        <w:tc>
          <w:tcPr>
            <w:tcW w:type="dxa" w:w="3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sz w:val="20"/>
                <w:szCs w:val="20"/>
              </w:rPr>
              <w:t xml:space="preserve">code/config.py + SI Section B.5</w:t>
            </w:r>
          </w:p>
        </w:tc>
      </w:tr>
    </w:tbl>
    <w:p>
      <w:pPr>
        <w:pBdr>
          <w:bottom w:val="single" w:color="CCCCCC" w:sz="6" w:space="1"/>
        </w:pBdr>
        <w:spacing w:after="120"/>
      </w:pPr>
    </w:p>
    <w:p>
      <w:pPr>
        <w:pStyle w:val="Heading1"/>
      </w:pPr>
      <w:r>
        <w:t xml:space="preserve">10. Ethical Positioning</w:t>
      </w:r>
    </w:p>
    <w:p>
      <w:r>
        <w:rPr>
          <w:sz w:val="22"/>
          <w:szCs w:val="22"/>
        </w:rPr>
        <w:t xml:space="preserve">SCIPRA is designed as a human-in-the-loop decision-support architecture. The framework does not replace democratic governance, stakeholder deliberation, legal review, or public participation processes. The AI components are intended to support transparency, consistency, and analytical integration within complex governance environments.</w:t>
      </w:r>
    </w:p>
    <w:p>
      <w:pPr>
        <w:spacing w:after="80" w:before="80"/>
      </w:pPr>
    </w:p>
    <w:p>
      <w:r>
        <w:rPr>
          <w:sz w:val="22"/>
          <w:szCs w:val="22"/>
        </w:rPr>
        <w:t xml:space="preserve">The present implementation is a semi-empirical retrospective explanatory simulation. The Marikana case application demonstrates analytical behaviour, convergence dynamics, stakeholder weighting logic, and governance integration mechanisms. It should not be interpreted as a predictive conflict forecasting system.</w:t>
      </w:r>
    </w:p>
    <w:p>
      <w:pPr>
        <w:pBdr>
          <w:bottom w:val="single" w:color="CCCCCC" w:sz="6" w:space="1"/>
        </w:pBdr>
        <w:spacing w:after="120"/>
      </w:pPr>
    </w:p>
    <w:p>
      <w:pPr>
        <w:pStyle w:val="Heading1"/>
      </w:pPr>
      <w:r>
        <w:t xml:space="preserve">11. Contact and Scholarly Use</w:t>
      </w:r>
    </w:p>
    <w:p>
      <w:r>
        <w:rPr>
          <w:sz w:val="22"/>
          <w:szCs w:val="22"/>
        </w:rPr>
        <w:t xml:space="preserve">Researchers seeking clarification regarding corpus reconstruction, methodological implementation, reproducibility pathways, or academic reuse may contact the corresponding author through the information provided in the manuscript.</w:t>
      </w:r>
    </w:p>
    <w:p>
      <w:pPr>
        <w:spacing w:after="80" w:before="80"/>
      </w:pPr>
    </w:p>
    <w:p>
      <w:r>
        <w:rPr>
          <w:sz w:val="22"/>
          <w:szCs w:val="22"/>
        </w:rPr>
        <w:t xml:space="preserve">If this repository contributes to your work, please cite the associated manuscript and the archived repository version (Zenodo DOI: to be added upon repository release).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2026-05-06T07:57:46.447Z</dcterms:created>
  <dcterms:modified xsi:type="dcterms:W3CDTF">2026-05-06T07:57:46.447Z</dcterms:modified>
</cp:coreProperties>
</file>

<file path=docProps/custom.xml><?xml version="1.0" encoding="utf-8"?>
<Properties xmlns="http://schemas.openxmlformats.org/officeDocument/2006/custom-properties" xmlns:vt="http://schemas.openxmlformats.org/officeDocument/2006/docPropsVTypes"/>
</file>