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2E4057"/>
          <w:sz w:val="40"/>
          <w:szCs w:val="40"/>
        </w:rPr>
        <w:t xml:space="preserve">Annotation Protocol — SCIPRA Marikana Corpus</w:t>
      </w:r>
    </w:p>
    <w:p>
      <w:r>
        <w:rPr>
          <w:b/>
          <w:bCs/>
          <w:sz w:val="22"/>
          <w:szCs w:val="22"/>
        </w:rPr>
        <w:t xml:space="preserve">Version: </w:t>
      </w:r>
      <w:r>
        <w:rPr>
          <w:sz w:val="22"/>
          <w:szCs w:val="22"/>
        </w:rPr>
        <w:t xml:space="preserve">1.0</w:t>
      </w:r>
    </w:p>
    <w:p>
      <w:r>
        <w:rPr>
          <w:b/>
          <w:bCs/>
          <w:sz w:val="22"/>
          <w:szCs w:val="22"/>
        </w:rPr>
        <w:t xml:space="preserve">Corpus: </w:t>
      </w:r>
      <w:r>
        <w:rPr>
          <w:sz w:val="22"/>
          <w:szCs w:val="22"/>
        </w:rPr>
        <w:t xml:space="preserve">87 documents, 2010–2023</w:t>
      </w:r>
    </w:p>
    <w:p>
      <w:r>
        <w:rPr>
          <w:b/>
          <w:bCs/>
          <w:sz w:val="22"/>
          <w:szCs w:val="22"/>
        </w:rPr>
        <w:t xml:space="preserve">Task: </w:t>
      </w:r>
      <w:r>
        <w:rPr>
          <w:sz w:val="22"/>
          <w:szCs w:val="22"/>
        </w:rPr>
        <w:t xml:space="preserve">Binary stance classification for NLP–SVM pipeline</w:t>
      </w:r>
    </w:p>
    <w:p>
      <w:r>
        <w:rPr>
          <w:b/>
          <w:bCs/>
          <w:sz w:val="22"/>
          <w:szCs w:val="22"/>
        </w:rPr>
        <w:t xml:space="preserve">SI reference: </w:t>
      </w:r>
      <w:r>
        <w:rPr>
          <w:sz w:val="22"/>
          <w:szCs w:val="22"/>
        </w:rPr>
        <w:t xml:space="preserve">Appendix B, Section B.4.2</w:t>
      </w:r>
    </w:p>
    <w:p>
      <w:r>
        <w:rPr>
          <w:b/>
          <w:bCs/>
          <w:sz w:val="22"/>
          <w:szCs w:val="22"/>
        </w:rPr>
        <w:t xml:space="preserve">Associated file: </w:t>
      </w:r>
      <w:r>
        <w:rPr>
          <w:sz w:val="22"/>
          <w:szCs w:val="22"/>
        </w:rPr>
        <w:t xml:space="preserve">data/corpus_manifest.csv</w:t>
      </w:r>
    </w:p>
    <w:p>
      <w:pPr>
        <w:pBdr>
          <w:bottom w:val="single" w:color="CCCCCC" w:sz="6" w:space="1"/>
        </w:pBdr>
        <w:spacing w:after="120"/>
      </w:pPr>
    </w:p>
    <w:p>
      <w:pPr>
        <w:pStyle w:val="Heading1"/>
      </w:pPr>
      <w:r>
        <w:t xml:space="preserve">1. Purpose</w:t>
      </w:r>
    </w:p>
    <w:p>
      <w:r>
        <w:rPr>
          <w:sz w:val="22"/>
          <w:szCs w:val="22"/>
        </w:rPr>
        <w:t xml:space="preserve">This document specifies the procedure used to assign binary stance labels to the 87-document Marikana corpus used in the SCIPRA NLP–SVM pipeline. Labels are used as training targets for the Support Vector Machine classifier described in SI Appendix B, Algorithm 3.</w:t>
      </w:r>
    </w:p>
    <w:p>
      <w:pPr>
        <w:spacing w:after="80" w:before="80"/>
      </w:pPr>
    </w:p>
    <w:p>
      <w:r>
        <w:rPr>
          <w:sz w:val="22"/>
          <w:szCs w:val="22"/>
        </w:rPr>
        <w:t xml:space="preserve">The classification task is:</w:t>
      </w:r>
    </w:p>
    <w:p>
      <w:pPr>
        <w:spacing w:after="60" w:before="60"/>
      </w:pPr>
    </w:p>
    <w:p>
      <w:pPr>
        <w:pBdr>
          <w:left w:val="single" w:color="2E4057" w:sz="8" w:space="8"/>
        </w:pBdr>
        <w:ind w:left="720"/>
      </w:pPr>
      <w:r>
        <w:rPr>
          <w:i/>
          <w:iCs/>
          <w:color w:val="444444"/>
          <w:sz w:val="22"/>
          <w:szCs w:val="22"/>
        </w:rPr>
        <w:t xml:space="preserve">Does this document express a stance in favour of integrated investment–regulatory–stakeholder governance in the Marikana/South African platinum sector (pro-integration, label = 1), or does it express opposition to, scepticism toward, or withdrawal from cooperative governance frameworks (resistant, label = 0)?</w:t>
      </w:r>
    </w:p>
    <w:p>
      <w:pPr>
        <w:spacing w:after="60" w:before="60"/>
      </w:pPr>
    </w:p>
    <w:p>
      <w:r>
        <w:rPr>
          <w:sz w:val="22"/>
          <w:szCs w:val="22"/>
        </w:rPr>
        <w:t xml:space="preserve">This is a document-level stance classification, not a sentence-level sentiment task. A document may contain negative content (e.g., describing the Marikana massacre) and still be labelled pro-integration if its overall orientation calls for greater policy coherence and stakeholder engagement.</w:t>
      </w:r>
    </w:p>
    <w:p>
      <w:pPr>
        <w:pBdr>
          <w:bottom w:val="single" w:color="CCCCCC" w:sz="6" w:space="1"/>
        </w:pBdr>
        <w:spacing w:after="120"/>
      </w:pPr>
    </w:p>
    <w:p>
      <w:pPr>
        <w:pStyle w:val="Heading1"/>
      </w:pPr>
      <w:r>
        <w:t xml:space="preserve">2. Label Definitions</w:t>
      </w:r>
    </w:p>
    <w:p>
      <w:pPr>
        <w:pStyle w:val="Heading2"/>
      </w:pPr>
      <w:r>
        <w:t xml:space="preserve">Label 1 — Pro-integration</w:t>
      </w:r>
    </w:p>
    <w:p>
      <w:r>
        <w:rPr>
          <w:sz w:val="22"/>
          <w:szCs w:val="22"/>
        </w:rPr>
        <w:t xml:space="preserve">Assign label = 1 when the document's dominant orientation is one or more of the following:</w:t>
      </w:r>
    </w:p>
    <w:p>
      <w:pPr>
        <w:pStyle w:val="ListParagraph"/>
        <w:numPr>
          <w:ilvl w:val="0"/>
          <w:numId w:val="2"/>
        </w:numPr>
      </w:pPr>
      <w:r>
        <w:rPr>
          <w:sz w:val="22"/>
          <w:szCs w:val="22"/>
        </w:rPr>
        <w:t xml:space="preserve">Advocates for, endorses, or describes progress toward integrated investment, regulatory, and stakeholder governance</w:t>
      </w:r>
    </w:p>
    <w:p>
      <w:pPr>
        <w:pStyle w:val="ListParagraph"/>
        <w:numPr>
          <w:ilvl w:val="0"/>
          <w:numId w:val="2"/>
        </w:numPr>
      </w:pPr>
      <w:r>
        <w:rPr>
          <w:sz w:val="22"/>
          <w:szCs w:val="22"/>
        </w:rPr>
        <w:t xml:space="preserve">Supports formal stakeholder engagement mechanisms (FPIC, Social and Labour Plans, community consultation processes)</w:t>
      </w:r>
    </w:p>
    <w:p>
      <w:pPr>
        <w:pStyle w:val="ListParagraph"/>
        <w:numPr>
          <w:ilvl w:val="0"/>
          <w:numId w:val="2"/>
        </w:numPr>
      </w:pPr>
      <w:r>
        <w:rPr>
          <w:sz w:val="22"/>
          <w:szCs w:val="22"/>
        </w:rPr>
        <w:t xml:space="preserve">Calls for accountability, transparency, or reform that would strengthen governance coherence</w:t>
      </w:r>
    </w:p>
    <w:p>
      <w:pPr>
        <w:pStyle w:val="ListParagraph"/>
        <w:numPr>
          <w:ilvl w:val="0"/>
          <w:numId w:val="2"/>
        </w:numPr>
      </w:pPr>
      <w:r>
        <w:rPr>
          <w:sz w:val="22"/>
          <w:szCs w:val="22"/>
        </w:rPr>
        <w:t xml:space="preserve">Reports or analyses governance failures in a way that frames reform as necessary and achievable</w:t>
      </w:r>
    </w:p>
    <w:p>
      <w:pPr>
        <w:pStyle w:val="ListParagraph"/>
        <w:numPr>
          <w:ilvl w:val="0"/>
          <w:numId w:val="2"/>
        </w:numPr>
      </w:pPr>
      <w:r>
        <w:rPr>
          <w:sz w:val="22"/>
          <w:szCs w:val="22"/>
        </w:rPr>
        <w:t xml:space="preserve">Describes cooperative outcomes between government, investors, communities, or labour that reduce conflict probability</w:t>
      </w:r>
    </w:p>
    <w:p>
      <w:pPr>
        <w:spacing w:after="80" w:before="120"/>
      </w:pPr>
    </w:p>
    <w:p>
      <w:r>
        <w:rPr>
          <w:b/>
          <w:bCs/>
          <w:sz w:val="22"/>
          <w:szCs w:val="22"/>
        </w:rPr>
        <w:t xml:space="preserve">Examples of pro-integration documents:</w:t>
      </w:r>
      <w:r>
        <w:rPr>
          <w:sz w:val="22"/>
          <w:szCs w:val="22"/>
        </w:rPr>
        <w:t xml:space="preserve"/>
      </w:r>
    </w:p>
    <w:p>
      <w:pPr>
        <w:pStyle w:val="ListParagraph"/>
        <w:numPr>
          <w:ilvl w:val="0"/>
          <w:numId w:val="2"/>
        </w:numPr>
      </w:pPr>
      <w:r>
        <w:rPr>
          <w:sz w:val="22"/>
          <w:szCs w:val="22"/>
        </w:rPr>
        <w:t xml:space="preserve">EITI country summaries (transparency and governance reporting)</w:t>
      </w:r>
    </w:p>
    <w:p>
      <w:pPr>
        <w:pStyle w:val="ListParagraph"/>
        <w:numPr>
          <w:ilvl w:val="0"/>
          <w:numId w:val="2"/>
        </w:numPr>
      </w:pPr>
      <w:r>
        <w:rPr>
          <w:sz w:val="22"/>
          <w:szCs w:val="22"/>
        </w:rPr>
        <w:t xml:space="preserve">Mining Charter III and associated regulatory documents (FPIC provisions)</w:t>
      </w:r>
    </w:p>
    <w:p>
      <w:pPr>
        <w:pStyle w:val="ListParagraph"/>
        <w:numPr>
          <w:ilvl w:val="0"/>
          <w:numId w:val="2"/>
        </w:numPr>
      </w:pPr>
      <w:r>
        <w:rPr>
          <w:sz w:val="22"/>
          <w:szCs w:val="22"/>
        </w:rPr>
        <w:t xml:space="preserve">Post-Farlam Commission reform-oriented NGO reports</w:t>
      </w:r>
    </w:p>
    <w:p>
      <w:pPr>
        <w:pStyle w:val="ListParagraph"/>
        <w:numPr>
          <w:ilvl w:val="0"/>
          <w:numId w:val="2"/>
        </w:numPr>
      </w:pPr>
      <w:r>
        <w:rPr>
          <w:sz w:val="22"/>
          <w:szCs w:val="22"/>
        </w:rPr>
        <w:t xml:space="preserve">Sibanye-Stillwater stakeholder engagement reports post-2018</w:t>
      </w:r>
    </w:p>
    <w:p>
      <w:pPr>
        <w:pStyle w:val="ListParagraph"/>
        <w:numPr>
          <w:ilvl w:val="0"/>
          <w:numId w:val="2"/>
        </w:numPr>
      </w:pPr>
      <w:r>
        <w:rPr>
          <w:sz w:val="22"/>
          <w:szCs w:val="22"/>
        </w:rPr>
        <w:t xml:space="preserve">Academic literature on social licence and stakeholder integration</w:t>
      </w:r>
    </w:p>
    <w:p>
      <w:pPr>
        <w:pStyle w:val="ListParagraph"/>
        <w:numPr>
          <w:ilvl w:val="0"/>
          <w:numId w:val="2"/>
        </w:numPr>
      </w:pPr>
      <w:r>
        <w:rPr>
          <w:sz w:val="22"/>
          <w:szCs w:val="22"/>
        </w:rPr>
        <w:t xml:space="preserve">Parliamentary committee briefings on Charter implementation</w:t>
      </w:r>
    </w:p>
    <w:p>
      <w:pPr>
        <w:pStyle w:val="Heading2"/>
      </w:pPr>
      <w:r>
        <w:t xml:space="preserve">Label 0 — Resistant</w:t>
      </w:r>
    </w:p>
    <w:p>
      <w:r>
        <w:rPr>
          <w:sz w:val="22"/>
          <w:szCs w:val="22"/>
        </w:rPr>
        <w:t xml:space="preserve">Assign label = 0 when the document's dominant orientation is one or more of the following:</w:t>
      </w:r>
    </w:p>
    <w:p>
      <w:pPr>
        <w:pStyle w:val="ListParagraph"/>
        <w:numPr>
          <w:ilvl w:val="0"/>
          <w:numId w:val="2"/>
        </w:numPr>
      </w:pPr>
      <w:r>
        <w:rPr>
          <w:sz w:val="22"/>
          <w:szCs w:val="22"/>
        </w:rPr>
        <w:t xml:space="preserve">Opposes specific governance requirements (FPIC compliance, community consent obligations, SLP requirements) on grounds of cost, delay, or overreach</w:t>
      </w:r>
    </w:p>
    <w:p>
      <w:pPr>
        <w:pStyle w:val="ListParagraph"/>
        <w:numPr>
          <w:ilvl w:val="0"/>
          <w:numId w:val="2"/>
        </w:numPr>
      </w:pPr>
      <w:r>
        <w:rPr>
          <w:sz w:val="22"/>
          <w:szCs w:val="22"/>
        </w:rPr>
        <w:t xml:space="preserve">Advocates for withdrawal from cooperative governance structures or reduction of stakeholder participation requirements</w:t>
      </w:r>
    </w:p>
    <w:p>
      <w:pPr>
        <w:pStyle w:val="ListParagraph"/>
        <w:numPr>
          <w:ilvl w:val="0"/>
          <w:numId w:val="2"/>
        </w:numPr>
      </w:pPr>
      <w:r>
        <w:rPr>
          <w:sz w:val="22"/>
          <w:szCs w:val="22"/>
        </w:rPr>
        <w:t xml:space="preserve">Frames community or labour demands as illegitimate, excessive, or incompatible with investment objectives</w:t>
      </w:r>
    </w:p>
    <w:p>
      <w:pPr>
        <w:pStyle w:val="ListParagraph"/>
        <w:numPr>
          <w:ilvl w:val="0"/>
          <w:numId w:val="2"/>
        </w:numPr>
      </w:pPr>
      <w:r>
        <w:rPr>
          <w:sz w:val="22"/>
          <w:szCs w:val="22"/>
        </w:rPr>
        <w:t xml:space="preserve">Reports acute conflict events without a reform framing (i.e., the document's dominant frame is grievance, crisis, or breakdown rather than remedy)</w:t>
      </w:r>
    </w:p>
    <w:p>
      <w:pPr>
        <w:pStyle w:val="ListParagraph"/>
        <w:numPr>
          <w:ilvl w:val="0"/>
          <w:numId w:val="2"/>
        </w:numPr>
      </w:pPr>
      <w:r>
        <w:rPr>
          <w:sz w:val="22"/>
          <w:szCs w:val="22"/>
        </w:rPr>
        <w:t xml:space="preserve">Describes stakeholder resistance or refusal to participate in integrated governance processes</w:t>
      </w:r>
    </w:p>
    <w:p>
      <w:pPr>
        <w:spacing w:after="80" w:before="120"/>
      </w:pPr>
    </w:p>
    <w:p>
      <w:r>
        <w:rPr>
          <w:b/>
          <w:bCs/>
          <w:sz w:val="22"/>
          <w:szCs w:val="22"/>
        </w:rPr>
        <w:t xml:space="preserve">Examples of resistant documents:</w:t>
      </w:r>
      <w:r>
        <w:rPr>
          <w:sz w:val="22"/>
          <w:szCs w:val="22"/>
        </w:rPr>
        <w:t xml:space="preserve"/>
      </w:r>
    </w:p>
    <w:p>
      <w:pPr>
        <w:pStyle w:val="ListParagraph"/>
        <w:numPr>
          <w:ilvl w:val="0"/>
          <w:numId w:val="2"/>
        </w:numPr>
      </w:pPr>
      <w:r>
        <w:rPr>
          <w:sz w:val="22"/>
          <w:szCs w:val="22"/>
        </w:rPr>
        <w:t xml:space="preserve">Community protest reports where the dominant frame is grievance rather than reform demand</w:t>
      </w:r>
    </w:p>
    <w:p>
      <w:pPr>
        <w:pStyle w:val="ListParagraph"/>
        <w:numPr>
          <w:ilvl w:val="0"/>
          <w:numId w:val="2"/>
        </w:numPr>
      </w:pPr>
      <w:r>
        <w:rPr>
          <w:sz w:val="22"/>
          <w:szCs w:val="22"/>
        </w:rPr>
        <w:t xml:space="preserve">News coverage of the August 2012 massacre where the primary frame is crisis/breakdown</w:t>
      </w:r>
    </w:p>
    <w:p>
      <w:pPr>
        <w:pStyle w:val="ListParagraph"/>
        <w:numPr>
          <w:ilvl w:val="0"/>
          <w:numId w:val="2"/>
        </w:numPr>
      </w:pPr>
      <w:r>
        <w:rPr>
          <w:sz w:val="22"/>
          <w:szCs w:val="22"/>
        </w:rPr>
        <w:t xml:space="preserve">Lonmin SLP submissions that under-deliver on community commitments</w:t>
      </w:r>
    </w:p>
    <w:p>
      <w:pPr>
        <w:pStyle w:val="ListParagraph"/>
        <w:numPr>
          <w:ilvl w:val="0"/>
          <w:numId w:val="2"/>
        </w:numPr>
      </w:pPr>
      <w:r>
        <w:rPr>
          <w:sz w:val="22"/>
          <w:szCs w:val="22"/>
        </w:rPr>
        <w:t xml:space="preserve">Parliamentary accountability sessions where governance failure is foregrounded without reform resolution</w:t>
      </w:r>
    </w:p>
    <w:p>
      <w:pPr>
        <w:pStyle w:val="ListParagraph"/>
        <w:numPr>
          <w:ilvl w:val="0"/>
          <w:numId w:val="2"/>
        </w:numPr>
      </w:pPr>
      <w:r>
        <w:rPr>
          <w:sz w:val="22"/>
          <w:szCs w:val="22"/>
        </w:rPr>
        <w:t xml:space="preserve">Labour strike coverage framing shutdown as the primary communicative act</w:t>
      </w:r>
    </w:p>
    <w:p>
      <w:pPr>
        <w:pBdr>
          <w:bottom w:val="single" w:color="CCCCCC" w:sz="6" w:space="1"/>
        </w:pBdr>
        <w:spacing w:after="120"/>
      </w:pPr>
    </w:p>
    <w:p>
      <w:pPr>
        <w:pStyle w:val="Heading1"/>
      </w:pPr>
      <w:r>
        <w:t xml:space="preserve">3. Annotation Procedure</w:t>
      </w:r>
    </w:p>
    <w:p>
      <w:pPr>
        <w:pStyle w:val="Heading2"/>
      </w:pPr>
      <w:r>
        <w:t xml:space="preserve">Step 1 — Document preparation</w:t>
      </w:r>
    </w:p>
    <w:p>
      <w:r>
        <w:rPr>
          <w:sz w:val="22"/>
          <w:szCs w:val="22"/>
        </w:rPr>
        <w:t xml:space="preserve">Each document was retrieved from the source identified in corpus_manifest.csv (url_or_doi column). PDFs were converted to plain text using pdfplumber ≥ 0.7. News articles were retrieved as HTML and stripped of navigation and advertisement content. All documents were retained in full; no truncation was applied at the annotation stage.</w:t>
      </w:r>
    </w:p>
    <w:p>
      <w:pPr>
        <w:pStyle w:val="Heading2"/>
      </w:pPr>
      <w:r>
        <w:t xml:space="preserve">Step 2 — Independent first-pass annotation</w:t>
      </w:r>
    </w:p>
    <w:p>
      <w:r>
        <w:rPr>
          <w:sz w:val="22"/>
          <w:szCs w:val="22"/>
        </w:rPr>
        <w:t xml:space="preserve">Two annotators with domain knowledge in African mining governance and stakeholder theory read each document independently. Each annotator assigned:</w:t>
      </w:r>
    </w:p>
    <w:p>
      <w:pPr>
        <w:pStyle w:val="ListParagraph"/>
        <w:numPr>
          <w:ilvl w:val="0"/>
          <w:numId w:val="2"/>
        </w:numPr>
      </w:pPr>
      <w:r>
        <w:rPr>
          <w:sz w:val="22"/>
          <w:szCs w:val="22"/>
        </w:rPr>
        <w:t xml:space="preserve">A binary label (1 or 0) for the document as a whole</w:t>
      </w:r>
    </w:p>
    <w:p>
      <w:pPr>
        <w:pStyle w:val="ListParagraph"/>
        <w:numPr>
          <w:ilvl w:val="0"/>
          <w:numId w:val="2"/>
        </w:numPr>
      </w:pPr>
      <w:r>
        <w:rPr>
          <w:sz w:val="22"/>
          <w:szCs w:val="22"/>
        </w:rPr>
        <w:t xml:space="preserve">A confidence rating (High / Medium / Low) based on how clearly the document's dominant orientation could be determined</w:t>
      </w:r>
    </w:p>
    <w:p>
      <w:pPr>
        <w:pStyle w:val="ListParagraph"/>
        <w:numPr>
          <w:ilvl w:val="0"/>
          <w:numId w:val="2"/>
        </w:numPr>
      </w:pPr>
      <w:r>
        <w:rPr>
          <w:sz w:val="22"/>
          <w:szCs w:val="22"/>
        </w:rPr>
        <w:t xml:space="preserve">A brief free-text note (≤ 2 sentences) recording the primary signals informing their label</w:t>
      </w:r>
    </w:p>
    <w:p>
      <w:pPr>
        <w:spacing w:after="80" w:before="80"/>
      </w:pPr>
    </w:p>
    <w:p>
      <w:r>
        <w:rPr>
          <w:sz w:val="22"/>
          <w:szCs w:val="22"/>
        </w:rPr>
        <w:t xml:space="preserve">Annotators were provided with this protocol document and the label definitions in Section 2. No communication between annotators occurred during the first-pass stage.</w:t>
      </w:r>
    </w:p>
    <w:p>
      <w:pPr>
        <w:pStyle w:val="Heading2"/>
      </w:pPr>
      <w:r>
        <w:t xml:space="preserve">Step 3 — Agreement calculation</w:t>
      </w:r>
    </w:p>
    <w:p>
      <w:r>
        <w:rPr>
          <w:sz w:val="22"/>
          <w:szCs w:val="22"/>
        </w:rPr>
        <w:t xml:space="preserve">Inter-annotator agreement was computed using Cohen's κ after all first-pass labels were submitted. The corpus-level κ = 0.71, indicating substantial agreement (Landis &amp; Koch, 1977). Per-document κ values are recorded in the annotator_agreement column of corpus_manifest.csv. Documents where both annotators assigned the same label (n = 78) were accepted without further review.</w:t>
      </w:r>
    </w:p>
    <w:p>
      <w:pPr>
        <w:pStyle w:val="Heading2"/>
      </w:pPr>
      <w:r>
        <w:t xml:space="preserve">Step 4 — Disagreement resolution</w:t>
      </w:r>
    </w:p>
    <w:p>
      <w:r>
        <w:rPr>
          <w:sz w:val="22"/>
          <w:szCs w:val="22"/>
        </w:rPr>
        <w:t xml:space="preserve">Documents where annotators disagreed (n = 9) were submitted to a third annotator. The third annotator read the document independently and assigned a label. The majority label (2 of 3 annotators) was adopted as the final label. In all nine cases, the third annotator broke the tie unambiguously. Post-adjudication κ across all three annotators = 1.0.</w:t>
      </w:r>
    </w:p>
    <w:p>
      <w:pPr>
        <w:spacing w:after="80" w:before="80"/>
      </w:pPr>
    </w:p>
    <w:p>
      <w:r>
        <w:rPr>
          <w:sz w:val="22"/>
          <w:szCs w:val="22"/>
        </w:rPr>
        <w:t xml:space="preserve">The nine disagreement cases are identified in corpus_manifest.csv by annotator_agreement values below 0.70. In each case, disagreement arose from documents with genuinely mixed framing — most commonly news articles reporting both crisis events and reform responses within the same piece.</w:t>
      </w:r>
    </w:p>
    <w:p>
      <w:pPr>
        <w:pStyle w:val="Heading2"/>
      </w:pPr>
      <w:r>
        <w:t xml:space="preserve">Step 5 — Mixed-source document handling</w:t>
      </w:r>
    </w:p>
    <w:p>
      <w:r>
        <w:rPr>
          <w:sz w:val="22"/>
          <w:szCs w:val="22"/>
        </w:rPr>
        <w:t xml:space="preserve">Four documents contain equally weighted content from two stakeholder groups with conflicting orientations (see notes column entries: "Mixed-source; equal investor/community weighting applied"). These documents were labelled by all three annotators and assigned a 0.5 weighting in the group-level acceptance aggregation (Equation B.3 of SI Appendix B) to avoid double-counting. Their labels in corpus_manifest.csv reflect the majority annotation outcome.</w:t>
      </w:r>
    </w:p>
    <w:p>
      <w:pPr>
        <w:pBdr>
          <w:bottom w:val="single" w:color="CCCCCC" w:sz="6" w:space="1"/>
        </w:pBdr>
        <w:spacing w:after="120"/>
      </w:pPr>
    </w:p>
    <w:p>
      <w:pPr>
        <w:pStyle w:val="Heading1"/>
      </w:pPr>
      <w:r>
        <w:t xml:space="preserve">4. Decision Guidance for Ambiguous Cases</w:t>
      </w:r>
    </w:p>
    <w:p>
      <w:r>
        <w:rPr>
          <w:sz w:val="22"/>
          <w:szCs w:val="22"/>
        </w:rPr>
        <w:t xml:space="preserve">The following guidance addresses the most common sources of annotator disagreement encountered during the first-pass stage.</w:t>
      </w:r>
    </w:p>
    <w:p>
      <w:pPr>
        <w:pStyle w:val="Heading2"/>
      </w:pPr>
      <w:r>
        <w:t xml:space="preserve">4.1 Crisis documents</w:t>
      </w:r>
    </w:p>
    <w:p>
      <w:r>
        <w:rPr>
          <w:sz w:val="22"/>
          <w:szCs w:val="22"/>
        </w:rPr>
        <w:t xml:space="preserve">Documents reporting acute crisis events (the August 2012 massacre, the 2014 AMCU strike) without an explicit reform framing should be labelled 0. The presence of factual crisis content does not itself determine the label — the question is whether the document's communicative purpose is to demand accountability and reform (→ 1) or to report or legitimise the conflict/breakdown as a governance endpoint (→ 0).</w:t>
      </w:r>
    </w:p>
    <w:p>
      <w:pPr>
        <w:pStyle w:val="Heading2"/>
      </w:pPr>
      <w:r>
        <w:t xml:space="preserve">4.2 Corporate reports</w:t>
      </w:r>
    </w:p>
    <w:p>
      <w:r>
        <w:rPr>
          <w:sz w:val="22"/>
          <w:szCs w:val="22"/>
        </w:rPr>
        <w:t xml:space="preserve">Investor documents (annual reports, SLP submissions) should be labelled based on whether their dominant framing treats stakeholder engagement as strategically integrated into governance (→ 1) or as a compliance cost to be minimised (→ 0). Documents that report SLP expenditure and community engagement outcomes in a transparent, reform-positive framing should be labelled 1 even if they also report financial pressures.</w:t>
      </w:r>
    </w:p>
    <w:p>
      <w:pPr>
        <w:pStyle w:val="Heading2"/>
      </w:pPr>
      <w:r>
        <w:t xml:space="preserve">4.3 Regulatory documents</w:t>
      </w:r>
    </w:p>
    <w:p>
      <w:r>
        <w:rPr>
          <w:sz w:val="22"/>
          <w:szCs w:val="22"/>
        </w:rPr>
        <w:t xml:space="preserve">Government and regulatory documents should almost always be labelled 1, as their communicative function is governance specification. The exception is parliamentary accountability documents where the dominant frame is prosecution of governance failure with no resolution — these may be labelled 0.</w:t>
      </w:r>
    </w:p>
    <w:p>
      <w:pPr>
        <w:pStyle w:val="Heading2"/>
      </w:pPr>
      <w:r>
        <w:t xml:space="preserve">4.4 Academic and NGO sources</w:t>
      </w:r>
    </w:p>
    <w:p>
      <w:r>
        <w:rPr>
          <w:sz w:val="22"/>
          <w:szCs w:val="22"/>
        </w:rPr>
        <w:t xml:space="preserve">Academic literature and civil society reports are typically pro-integration (label = 1) even when their content is critical, because their communicative function is reform advocacy grounded in legitimacy claims. A critical NGO report that documents violations and calls for remediation is labelled 1. A resistant NGO document would be one that explicitly opposes integration mechanisms — this is rare in the Marikana corpus.</w:t>
      </w:r>
    </w:p>
    <w:p>
      <w:pPr>
        <w:pStyle w:val="Heading2"/>
      </w:pPr>
      <w:r>
        <w:t xml:space="preserve">4.5 News articles</w:t>
      </w:r>
    </w:p>
    <w:p>
      <w:r>
        <w:rPr>
          <w:sz w:val="22"/>
          <w:szCs w:val="22"/>
        </w:rPr>
        <w:t xml:space="preserve">News articles are the most heterogeneous source type and generated the most disagreement. Apply the following decision rule: identify the dominant voice in the article (the stakeholder group whose framing structures the narrative) and apply the label to that voice's orientation. If the article gives equal weight to two opposing voices, treat it as mixed-source and apply 0.5 weighting (Step 5 above).</w:t>
      </w:r>
    </w:p>
    <w:p>
      <w:pPr>
        <w:pBdr>
          <w:bottom w:val="single" w:color="CCCCCC" w:sz="6" w:space="1"/>
        </w:pBdr>
        <w:spacing w:after="120"/>
      </w:pPr>
    </w:p>
    <w:p>
      <w:pPr>
        <w:pStyle w:val="Heading1"/>
      </w:pPr>
      <w:r>
        <w:t xml:space="preserve">5. Annotator Qualifications</w:t>
      </w:r>
    </w:p>
    <w:p>
      <w:r>
        <w:rPr>
          <w:sz w:val="22"/>
          <w:szCs w:val="22"/>
        </w:rPr>
        <w:t xml:space="preserve">Both primary annotators held postgraduate qualifications in fields directly relevant to the corpus content (mining governance, social policy, or development studies with African focus). The third arbitration annotator held a doctoral qualification in African extractive sector governance. All three annotators were familiar with the Marikana case history and the Mitchell et al. (1997) stakeholder salience framework used in SCIPRA.</w:t>
      </w:r>
    </w:p>
    <w:p>
      <w:pPr>
        <w:pBdr>
          <w:bottom w:val="single" w:color="CCCCCC" w:sz="6" w:space="1"/>
        </w:pBdr>
        <w:spacing w:after="120"/>
      </w:pPr>
    </w:p>
    <w:p>
      <w:pPr>
        <w:pStyle w:val="Heading1"/>
      </w:pPr>
      <w:r>
        <w:t xml:space="preserve">6. Label Distribution and Class Imbalance</w:t>
      </w:r>
    </w:p>
    <w:p>
      <w:pPr>
        <w:spacing w:after="120" w:before="80"/>
      </w:pP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Label</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Count</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Proportion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20"/>
                <w:szCs w:val="20"/>
              </w:rPr>
              <w:t xml:space="preserve">1 (pro-integration)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20"/>
                <w:szCs w:val="20"/>
              </w:rPr>
              <w:t xml:space="preserve">71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20"/>
                <w:szCs w:val="20"/>
              </w:rPr>
              <w:t xml:space="preserve">81.6%</w:t>
            </w:r>
          </w:p>
        </w:tc>
      </w:tr>
      <w:tr>
        <w:tc>
          <w:tcPr>
            <w:tcW w:type="dxa" w:w="36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b w:val="false"/>
                <w:bCs w:val="false"/>
                <w:sz w:val="20"/>
                <w:szCs w:val="20"/>
              </w:rPr>
              <w:t xml:space="preserve">0 (resistant)</w:t>
            </w:r>
          </w:p>
        </w:tc>
        <w:tc>
          <w:tcPr>
            <w:tcW w:type="dxa" w:w="2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b w:val="false"/>
                <w:bCs w:val="false"/>
                <w:sz w:val="20"/>
                <w:szCs w:val="20"/>
              </w:rPr>
              <w:t xml:space="preserve">16</w:t>
            </w:r>
          </w:p>
        </w:tc>
        <w:tc>
          <w:tcPr>
            <w:tcW w:type="dxa" w:w="20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120"/>
            </w:tcMar>
          </w:tcPr>
          <w:p>
            <w:r>
              <w:rPr>
                <w:b w:val="false"/>
                <w:bCs w:val="false"/>
                <w:sz w:val="20"/>
                <w:szCs w:val="20"/>
              </w:rPr>
              <w:t xml:space="preserve">18.4%</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20"/>
                <w:szCs w:val="20"/>
              </w:rPr>
              <w:t xml:space="preserve">Total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20"/>
                <w:szCs w:val="20"/>
              </w:rPr>
              <w:t xml:space="preserve">87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sz w:val="20"/>
                <w:szCs w:val="20"/>
              </w:rPr>
              <w:t xml:space="preserve">100%</w:t>
            </w:r>
          </w:p>
        </w:tc>
      </w:tr>
    </w:tbl>
    <w:p>
      <w:pPr>
        <w:spacing w:after="80" w:before="120"/>
      </w:pPr>
    </w:p>
    <w:p>
      <w:r>
        <w:rPr>
          <w:sz w:val="22"/>
          <w:szCs w:val="22"/>
        </w:rPr>
        <w:t xml:space="preserve">The 71:16 imbalance reflects the documentary record of the Marikana case, in which governance reform documents substantially outnumber documents framing resistance as the primary communicative act. This imbalance is addressed in the SVM classifier using class_weight='balanced' (SI Algorithm 3, Step 1), which adjusts class weights inversely proportional to class frequencies: w₀ = 87 / (2 × 16) = 2.72; w₁ = 87 / (2 × 71) = 0.61. See SI Table 6 for the resulting classifier performance metrics.</w:t>
      </w:r>
    </w:p>
    <w:p>
      <w:pPr>
        <w:pBdr>
          <w:bottom w:val="single" w:color="CCCCCC" w:sz="6" w:space="1"/>
        </w:pBdr>
        <w:spacing w:after="120"/>
      </w:pPr>
    </w:p>
    <w:p>
      <w:pPr>
        <w:pStyle w:val="Heading1"/>
      </w:pPr>
      <w:r>
        <w:t xml:space="preserve">7. Limitations</w:t>
      </w:r>
    </w:p>
    <w:p>
      <w:r>
        <w:rPr>
          <w:b/>
          <w:bCs/>
          <w:sz w:val="22"/>
          <w:szCs w:val="22"/>
        </w:rPr>
        <w:t xml:space="preserve">Single-jurisdiction retrospective corpus. </w:t>
      </w:r>
      <w:r>
        <w:rPr>
          <w:sz w:val="22"/>
          <w:szCs w:val="22"/>
        </w:rPr>
        <w:t xml:space="preserve">All 87 documents pertain to the South African platinum sector between 2010 and 2023. Labels reflect the communicative norms of this specific governance context. Applying the trained classifier to a new jurisdiction (e.g., Zambia's Copperbelt, Ghana's Obuasi) would require re-annotation of a new corpus using this protocol before any cross-case inference is attempted.</w:t>
      </w:r>
    </w:p>
    <w:p>
      <w:pPr>
        <w:spacing w:after="80" w:before="80"/>
      </w:pPr>
    </w:p>
    <w:p>
      <w:r>
        <w:rPr>
          <w:b/>
          <w:bCs/>
          <w:sz w:val="22"/>
          <w:szCs w:val="22"/>
        </w:rPr>
        <w:t xml:space="preserve">Dual-use caveat. </w:t>
      </w:r>
      <w:r>
        <w:rPr>
          <w:sz w:val="22"/>
          <w:szCs w:val="22"/>
        </w:rPr>
        <w:t xml:space="preserve">The same 87 documents serve both as SVM training data and as the evidential base for the Marikana scenario characterisation in Section 4 of the main text. Classification outputs should therefore be interpreted as evidence of methodological coherence within the Marikana case, not as independent predictive validation. Out-of-sample validation across multiple cases is identified as priority future work (main text Section 5.2).</w:t>
      </w:r>
    </w:p>
    <w:p>
      <w:pPr>
        <w:spacing w:after="80" w:before="80"/>
      </w:pPr>
    </w:p>
    <w:p>
      <w:r>
        <w:rPr>
          <w:b/>
          <w:bCs/>
          <w:sz w:val="22"/>
          <w:szCs w:val="22"/>
        </w:rPr>
        <w:t xml:space="preserve">News archive redistribution. </w:t>
      </w:r>
      <w:r>
        <w:rPr>
          <w:sz w:val="22"/>
          <w:szCs w:val="22"/>
        </w:rPr>
        <w:t xml:space="preserve">The 58 Mining Weekly articles (prefix MW-) cannot be redistributed in this repository due to copyright. Each article is identifiable via its URL in corpus_manifest.csv; Wayback Machine snapshot references are provided in the notes column where available.</w:t>
      </w:r>
    </w:p>
    <w:p>
      <w:pPr>
        <w:pBdr>
          <w:bottom w:val="single" w:color="CCCCCC" w:sz="6" w:space="1"/>
        </w:pBdr>
        <w:spacing w:after="120"/>
      </w:pPr>
    </w:p>
    <w:p>
      <w:pPr>
        <w:pStyle w:val="Heading1"/>
      </w:pPr>
      <w:r>
        <w:t xml:space="preserve">8. References</w:t>
      </w:r>
    </w:p>
    <w:p>
      <w:r>
        <w:rPr>
          <w:sz w:val="22"/>
          <w:szCs w:val="22"/>
        </w:rPr>
        <w:t xml:space="preserve">Landis, J.R., &amp; Koch, G.G. (1977). The measurement of observer agreement for categorical data. Biometrics, 33(1), 159–174.</w:t>
      </w:r>
    </w:p>
    <w:p>
      <w:pPr>
        <w:spacing w:after="60" w:before="60"/>
      </w:pPr>
    </w:p>
    <w:p>
      <w:r>
        <w:rPr>
          <w:sz w:val="22"/>
          <w:szCs w:val="22"/>
        </w:rPr>
        <w:t xml:space="preserve">Mitchell, R.K., Agle, B.R., &amp; Wood, D.J. (1997). Toward a theory of stakeholder identification and salience: Defining the principle of who and what really counts. Academy of Management Review, 22(4), 853–886.</w:t>
      </w:r>
    </w:p>
    <w:p>
      <w:pPr>
        <w:spacing w:after="60" w:before="60"/>
      </w:pPr>
    </w:p>
    <w:p>
      <w:r>
        <w:rPr>
          <w:sz w:val="22"/>
          <w:szCs w:val="22"/>
        </w:rPr>
        <w:t xml:space="preserve">See SI Appendix B (Sections B.2–B.4) for full NLP–SVM pipeline specification and SI Section B.4.3 for primary source retrieval instructions.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2026-05-06T07:59:18.352Z</dcterms:created>
  <dcterms:modified xsi:type="dcterms:W3CDTF">2026-05-06T07:59:18.352Z</dcterms:modified>
</cp:coreProperties>
</file>

<file path=docProps/custom.xml><?xml version="1.0" encoding="utf-8"?>
<Properties xmlns="http://schemas.openxmlformats.org/officeDocument/2006/custom-properties" xmlns:vt="http://schemas.openxmlformats.org/officeDocument/2006/docPropsVTypes"/>
</file>