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References (Supplementary Material)</w:t>
      </w:r>
    </w:p>
    <w:p>
      <w:r>
        <w:t>Aczél, J., &amp; Saaty, T. L. (1983). Procedures for synthesizing ratio judgements. Journal of Mathematical Psychology, 27(1), 93–102.</w:t>
      </w:r>
    </w:p>
    <w:p>
      <w:r>
        <w:t>Hoeffding, W. (1963). Probability inequalities for sums of bounded random variables. Journal of the American Statistical Association, 58(301), 13–30.</w:t>
      </w:r>
    </w:p>
    <w:p>
      <w:r>
        <w:t>Saaty, T. L. (1980). The analytic hierarchy process: Planning, priority setting, resource allocation. McGraw-Hill.</w:t>
      </w:r>
    </w:p>
    <w:p>
      <w:r>
        <w:t>van Laarhoven, P. J. M., &amp; Pedrycz, W. (1983). A fuzzy extension of Saaty’s priority theory. Fuzzy Sets and Systems, 11(1–3), 229–241.</w:t>
      </w:r>
    </w:p>
    <w:p>
      <w:r>
        <w:t>Zarghami, M., &amp; Szidarovszky, F. (2011). Multicriteria analysis: Applications to water and environment management. Springer.</w:t>
      </w:r>
    </w:p>
    <w:p>
      <w:r>
        <w:t>Mitchell, R. K., Agle, B. R., &amp; Wood, D. J. (1997). Toward a theory of stakeholder identification and salience. Academy of Management Review, 22(4), 853–886.</w:t>
      </w:r>
    </w:p>
    <w:p>
      <w:r>
        <w:t>Boutilier, R. G., &amp; Thomson, I. (2011). Modelling and measuring the social licence to operate. International Mine Management Conference Proceedings.</w:t>
      </w:r>
    </w:p>
    <w:p>
      <w:r>
        <w:t>Moffat, K., &amp; Zhang, A. (2014). The paths to social licence to operate. Resources Policy, 39, 61–70.</w:t>
      </w:r>
    </w:p>
    <w:p>
      <w:r>
        <w:t>Marais, L., Matebesi, S., &amp; van der Watt, P. (2024). Social licensing and mining in South Africa. Resources Policy, 90, 104724.</w:t>
      </w:r>
    </w:p>
    <w:p>
      <w:r>
        <w:t>Kaufmann, D., Kraay, A., &amp; Mastruzzi, M. (2010). The worldwide governance indicators. World Bank Policy Research Working Paper No. 5430.</w:t>
      </w:r>
    </w:p>
    <w:p>
      <w:r>
        <w:t>World Bank. (2012–2023). Worldwide governance indicators. https://info.worldbank.org/governance/wgi/</w:t>
      </w:r>
    </w:p>
    <w:p>
      <w:r>
        <w:t>Extractive Industries Transparency Initiative (EITI). (2023). EITI Standard 2023.</w:t>
      </w:r>
    </w:p>
    <w:p>
      <w:r>
        <w:t>Department of Mineral Resources and Energy (DMRE). (2018). Mining Charter III. Republic of South Africa.</w:t>
      </w:r>
    </w:p>
    <w:p>
      <w:r>
        <w:t>Farlam Commission. (2015). Report of the Marikana Commission of Inquiry. Republic of South Africa.</w:t>
      </w:r>
    </w:p>
    <w:p>
      <w:r>
        <w:t>Bench Marks Foundation. (2012). Policy gap 6: Corporate social responsibility in the platinum mining industry.</w:t>
      </w:r>
    </w:p>
    <w:p>
      <w:r>
        <w:t>Bench Marks Foundation. (2016). Policy gap 10: A review of platinum mining in the Bojanala District.</w:t>
      </w:r>
    </w:p>
    <w:p>
      <w:r>
        <w:t>Centre for Environmental Rights (CER). (2017). Zero hour: Poor governance of mining.</w:t>
      </w:r>
    </w:p>
    <w:p>
      <w:r>
        <w:t>Socio-Economic Rights Institute of South Africa (SERI). (2013). Displacement and relocation in the Nkaneng informal settlement.</w:t>
      </w:r>
    </w:p>
    <w:p>
      <w:r>
        <w:t>Minerals Council South Africa. (2013). Facts and figures 2012.</w:t>
      </w:r>
    </w:p>
    <w:p>
      <w:r>
        <w:t>Statistics South Africa. (2015). Quarterly Labour Force Survey, Q4 2014.</w:t>
      </w:r>
    </w:p>
    <w:p>
      <w:r>
        <w:t>ActionAid. (2008). Precious metal: The impact of Anglo Platinum on poor communities in Limpopo.</w:t>
      </w:r>
    </w:p>
    <w:p>
      <w:r>
        <w:t>Hutto, C. J., &amp; Gilbert, E. (2014). VADER: A parsimonious rule-based model for sentiment analysis. ICWSM-14.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