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№3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Филатов Илья Гурамович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- научиться оформлять отчеты, используя легковесный</w:t>
      </w:r>
      <w:r>
        <w:t xml:space="preserve"> </w:t>
      </w:r>
      <w:r>
        <w:t xml:space="preserve">язык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Заполнение отчёта по лабораторной работе №3 с использованием языка разметки Markdown.</w:t>
      </w:r>
    </w:p>
    <w:p>
      <w:pPr>
        <w:pStyle w:val="Compact"/>
        <w:numPr>
          <w:ilvl w:val="0"/>
          <w:numId w:val="1001"/>
        </w:numPr>
      </w:pPr>
      <w:r>
        <w:t xml:space="preserve">Задание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Чтобы создать заголовок, необходимо использовать знак #.</w:t>
      </w:r>
      <w:r>
        <w:t xml:space="preserve"> </w:t>
      </w:r>
      <w:r>
        <w:t xml:space="preserve">Чтобы задать для текста полужирное начертание, необходимо заключить его в двойные звездочки.</w:t>
      </w:r>
      <w:r>
        <w:t xml:space="preserve"> </w:t>
      </w:r>
      <w:r>
        <w:t xml:space="preserve">Чтобы задать для текста курсивное начертание, необходимо заключить его в одинарные звездочки.</w:t>
      </w:r>
      <w:r>
        <w:t xml:space="preserve"> </w:t>
      </w:r>
      <w:r>
        <w:t xml:space="preserve">Задать для текста полужирное и курсивное начертание можно, заключив его в тройные звездочки.</w:t>
      </w:r>
      <w:r>
        <w:t xml:space="preserve"> </w:t>
      </w:r>
      <w:r>
        <w:t xml:space="preserve">Блоки цитирования создаются с помощью символа &gt;.</w:t>
      </w:r>
      <w:r>
        <w:t xml:space="preserve"> </w:t>
      </w:r>
      <w:r>
        <w:t xml:space="preserve">Упорядоченный список можно отформатировать с помощью соответствующих цифр.</w:t>
      </w:r>
      <w:r>
        <w:t xml:space="preserve"> </w:t>
      </w:r>
      <w:r>
        <w:t xml:space="preserve">Чтобы вложить один список в другой, необходимо добавить отступ для элементов дочернего списка.</w:t>
      </w:r>
      <w:r>
        <w:t xml:space="preserve"> </w:t>
      </w:r>
      <w:r>
        <w:t xml:space="preserve">Неупорядоченный (маркированный) список можно отформатировать с помощью звездочек или тире.</w:t>
      </w:r>
      <w:r>
        <w:t xml:space="preserve"> </w:t>
      </w:r>
      <w:r>
        <w:t xml:space="preserve">Вложить один список в другой можно, добавив отступ для элементов дочернего списка.</w:t>
      </w:r>
      <w:r>
        <w:t xml:space="preserve"> </w:t>
      </w:r>
      <w:r>
        <w:t xml:space="preserve">Синтаксис Markdown для встроенной ссылки состоит из части [link text], представляющей текст гиперссылки, и части (file-name.md) – URL-адреса или имени файла, на который дается ссылка.</w:t>
      </w:r>
      <w:r>
        <w:t xml:space="preserve"> </w:t>
      </w:r>
      <w:r>
        <w:t xml:space="preserve">Markdown поддерживает как встраивание фрагментов кода в предложение, так и их размещение между предложениями в виде отдельных огражденных блоков. Огражденные блоки кода — это простой способ выделить синтаксис для фрагментов кода.</w:t>
      </w:r>
      <w:r>
        <w:t xml:space="preserve"> </w:t>
      </w:r>
      <w:r>
        <w:t xml:space="preserve">Внутритекстовые формулы делаются аналогично формулам LaTeX.</w:t>
      </w:r>
      <w:r>
        <w:t xml:space="preserve"> </w:t>
      </w:r>
      <w:r>
        <w:t xml:space="preserve">В Markdown вставить изображение в документ можно с помощью непосредственного указания адреса изображения.</w:t>
      </w:r>
      <w:r>
        <w:t xml:space="preserve"> </w:t>
      </w:r>
      <w:r>
        <w:t xml:space="preserve">Можно преобразовать файл README.md используя команду pandoc.</w:t>
      </w:r>
    </w:p>
    <w:bookmarkEnd w:id="22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59" w:name="X7cba6099df0c601139b57d8cd46d24c13854017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Заполнение отчёта по лабораторной работе №3 с использованием языка разметки Markdown.</w:t>
      </w:r>
    </w:p>
    <w:p>
      <w:pPr>
        <w:pStyle w:val="FirstParagraph"/>
      </w:pPr>
      <w:r>
        <w:t xml:space="preserve">Открываю терминал. Убеждаюсь, что нахожусь в домашней директории и с помощью команды cd перехожу в каталог курса, указав относительный путь к нему (рис. 1).</w:t>
      </w:r>
    </w:p>
    <w:bookmarkStart w:id="26" w:name="fig:001"/>
    <w:p>
      <w:pPr>
        <w:pStyle w:val="CaptionedFigure"/>
      </w:pPr>
      <w:r>
        <w:drawing>
          <wp:inline>
            <wp:extent cx="3733800" cy="685917"/>
            <wp:effectExtent b="0" l="0" r="0" t="0"/>
            <wp:docPr descr="Рис. 1: Переход в каталог курс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5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Переход в каталог курса</w:t>
      </w:r>
    </w:p>
    <w:bookmarkEnd w:id="26"/>
    <w:p>
      <w:pPr>
        <w:pStyle w:val="BodyText"/>
      </w:pPr>
      <w:r>
        <w:t xml:space="preserve">Обновляю локальный репозиторий с помощью команды git pull. Убеждаюсь, что репозиторий актуален (рис. 2).</w:t>
      </w:r>
    </w:p>
    <w:bookmarkStart w:id="30" w:name="fig:002"/>
    <w:p>
      <w:pPr>
        <w:pStyle w:val="CaptionedFigure"/>
      </w:pPr>
      <w:r>
        <w:drawing>
          <wp:inline>
            <wp:extent cx="3733800" cy="679458"/>
            <wp:effectExtent b="0" l="0" r="0" t="0"/>
            <wp:docPr descr="Рис. 2: Обновление репозитория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9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Обновление репозитория</w:t>
      </w:r>
    </w:p>
    <w:bookmarkEnd w:id="30"/>
    <w:p>
      <w:pPr>
        <w:pStyle w:val="BodyText"/>
      </w:pPr>
      <w:r>
        <w:t xml:space="preserve">Используя команду cd и относительный путь, перехожу в каталог с шаблоном отчёта по лабораторной работе № 3 (рис. 3).</w:t>
      </w:r>
    </w:p>
    <w:bookmarkStart w:id="34" w:name="fig:003"/>
    <w:p>
      <w:pPr>
        <w:pStyle w:val="CaptionedFigure"/>
      </w:pPr>
      <w:r>
        <w:drawing>
          <wp:inline>
            <wp:extent cx="3733800" cy="982982"/>
            <wp:effectExtent b="0" l="0" r="0" t="0"/>
            <wp:docPr descr="Рис. 3: Переход в каталог с шаблоном отчёта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2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Переход в каталог с шаблоном отчёта</w:t>
      </w:r>
    </w:p>
    <w:bookmarkEnd w:id="34"/>
    <w:p>
      <w:pPr>
        <w:pStyle w:val="BodyText"/>
      </w:pPr>
      <w:r>
        <w:t xml:space="preserve">Провожу компиляцию шаблона с использованием Makefile командой make (рис. 4).</w:t>
      </w:r>
    </w:p>
    <w:bookmarkStart w:id="38" w:name="fig:004"/>
    <w:p>
      <w:pPr>
        <w:pStyle w:val="CaptionedFigure"/>
      </w:pPr>
      <w:r>
        <w:drawing>
          <wp:inline>
            <wp:extent cx="3733800" cy="815035"/>
            <wp:effectExtent b="0" l="0" r="0" t="0"/>
            <wp:docPr descr="Рис. 4: Компиляция шаблона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5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Компиляция шаблона</w:t>
      </w:r>
    </w:p>
    <w:bookmarkEnd w:id="38"/>
    <w:p>
      <w:pPr>
        <w:pStyle w:val="BodyText"/>
      </w:pPr>
      <w:r>
        <w:t xml:space="preserve">Открываю файловый менеджер и проверяю, что нужные файлы сгенерировались (рис. 5).</w:t>
      </w:r>
    </w:p>
    <w:bookmarkStart w:id="42" w:name="fig:005"/>
    <w:p>
      <w:pPr>
        <w:pStyle w:val="CaptionedFigure"/>
      </w:pPr>
      <w:r>
        <w:drawing>
          <wp:inline>
            <wp:extent cx="3733800" cy="2078237"/>
            <wp:effectExtent b="0" l="0" r="0" t="0"/>
            <wp:docPr descr="Рис. 5: Проверка корректности файлов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8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Проверка корректности файлов</w:t>
      </w:r>
    </w:p>
    <w:bookmarkEnd w:id="42"/>
    <w:p>
      <w:pPr>
        <w:pStyle w:val="BodyText"/>
      </w:pPr>
      <w:r>
        <w:t xml:space="preserve">Удаляю полученные файлы с использованием Makefile, используя команду make clean (рис. 6).</w:t>
      </w:r>
    </w:p>
    <w:bookmarkStart w:id="46" w:name="fig:006"/>
    <w:p>
      <w:pPr>
        <w:pStyle w:val="CaptionedFigure"/>
      </w:pPr>
      <w:r>
        <w:drawing>
          <wp:inline>
            <wp:extent cx="3733800" cy="329996"/>
            <wp:effectExtent b="0" l="0" r="0" t="0"/>
            <wp:docPr descr="Рис. 6: Удаление файлов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9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Удаление файлов</w:t>
      </w:r>
    </w:p>
    <w:bookmarkEnd w:id="46"/>
    <w:p>
      <w:pPr>
        <w:pStyle w:val="BodyText"/>
      </w:pPr>
      <w:r>
        <w:t xml:space="preserve">Открываю файловый менеджер и проверяю, что файлы были удалены(рис. 7).</w:t>
      </w:r>
    </w:p>
    <w:bookmarkStart w:id="50" w:name="fig:007"/>
    <w:p>
      <w:pPr>
        <w:pStyle w:val="CaptionedFigure"/>
      </w:pPr>
      <w:r>
        <w:drawing>
          <wp:inline>
            <wp:extent cx="3733800" cy="2105746"/>
            <wp:effectExtent b="0" l="0" r="0" t="0"/>
            <wp:docPr descr="Рис. 7: Проверка удаления файлов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5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Проверка удаления файлов</w:t>
      </w:r>
    </w:p>
    <w:bookmarkEnd w:id="50"/>
    <w:p>
      <w:pPr>
        <w:pStyle w:val="BodyText"/>
      </w:pPr>
      <w:r>
        <w:t xml:space="preserve">Открываю файл report.md c помощью текстового редактора gedit (рис. 8).</w:t>
      </w:r>
    </w:p>
    <w:bookmarkStart w:id="54" w:name="fig:008"/>
    <w:p>
      <w:pPr>
        <w:pStyle w:val="CaptionedFigure"/>
      </w:pPr>
      <w:r>
        <w:drawing>
          <wp:inline>
            <wp:extent cx="3733800" cy="205373"/>
            <wp:effectExtent b="0" l="0" r="0" t="0"/>
            <wp:docPr descr="Рис. 8: Открытие файла report.md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Открытие файла report.md</w:t>
      </w:r>
    </w:p>
    <w:bookmarkEnd w:id="54"/>
    <w:p>
      <w:pPr>
        <w:pStyle w:val="BodyText"/>
      </w:pPr>
      <w:r>
        <w:t xml:space="preserve">Изучаю структуру этого файла (рис. 9).</w:t>
      </w:r>
    </w:p>
    <w:bookmarkStart w:id="58" w:name="fig:009"/>
    <w:p>
      <w:pPr>
        <w:pStyle w:val="CaptionedFigure"/>
      </w:pPr>
      <w:r>
        <w:drawing>
          <wp:inline>
            <wp:extent cx="3733800" cy="2041144"/>
            <wp:effectExtent b="0" l="0" r="0" t="0"/>
            <wp:docPr descr="Рис. 9: Изучение структуры файла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1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Изучение структуры файла</w:t>
      </w:r>
    </w:p>
    <w:bookmarkEnd w:id="58"/>
    <w:bookmarkEnd w:id="59"/>
    <w:bookmarkStart w:id="60" w:name="задание-для-самостоятельной-работы.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Задание для самостоятельной работы.</w:t>
      </w:r>
    </w:p>
    <w:bookmarkEnd w:id="60"/>
    <w:bookmarkEnd w:id="61"/>
    <w:bookmarkStart w:id="6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 процедуру оформления отчётов с помощью легковесного языка разметки Markdown.</w:t>
      </w:r>
    </w:p>
    <w:bookmarkEnd w:id="62"/>
    <w:bookmarkStart w:id="64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pStyle w:val="Compact"/>
        <w:numPr>
          <w:ilvl w:val="0"/>
          <w:numId w:val="1002"/>
        </w:numPr>
      </w:pPr>
      <w:hyperlink r:id="rId63">
        <w:r>
          <w:rPr>
            <w:rStyle w:val="Hyperlink"/>
          </w:rPr>
          <w:t xml:space="preserve">Архитектура ЭВМ</w:t>
        </w:r>
      </w:hyperlink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hyperlink" Id="rId63" Target="https://esystem.rudn.ru/pluginfile.php/2089530/mod_resource/&#8230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3" Target="https://esystem.rudn.ru/pluginfile.php/2089530/mod_resource/&#8230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Филатов Илья Гурамович</dc:creator>
  <dc:language>ru-RU</dc:language>
  <cp:keywords/>
  <dcterms:created xsi:type="dcterms:W3CDTF">2024-10-12T14:26:03Z</dcterms:created>
  <dcterms:modified xsi:type="dcterms:W3CDTF">2024-10-12T14:26:03Z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Список таблиц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IBM Plex Serif</vt:lpwstr>
  </property>
  <property fmtid="{D5CDD505-2E9C-101B-9397-08002B2CF9AE}" pid="58" name="mainfontoptions">
    <vt:lpwstr>Ligatures=Common,Ligatures=TeX,Scale=0.94</vt:lpwstr>
  </property>
  <property fmtid="{D5CDD505-2E9C-101B-9397-08002B2CF9AE}" pid="59" name="mathfont">
    <vt:lpwstr>STIX Two Math</vt:lpwstr>
  </property>
  <property fmtid="{D5CDD505-2E9C-101B-9397-08002B2CF9AE}" pid="60" name="mathfontoptions">
    <vt:lpwstr/>
  </property>
  <property fmtid="{D5CDD505-2E9C-101B-9397-08002B2CF9AE}" pid="61" name="monofont">
    <vt:lpwstr>IBM Plex Mono</vt:lpwstr>
  </property>
  <property fmtid="{D5CDD505-2E9C-101B-9397-08002B2CF9AE}" pid="62" name="monofontoptions">
    <vt:lpwstr>Scale=MatchLowercase,Scale=0.94,FakeStretch=0.9</vt:lpwstr>
  </property>
  <property fmtid="{D5CDD505-2E9C-101B-9397-08002B2CF9AE}" pid="63" name="nameInLink">
    <vt:lpwstr>False</vt:lpwstr>
  </property>
  <property fmtid="{D5CDD505-2E9C-101B-9397-08002B2CF9AE}" pid="64" name="numberSections">
    <vt:lpwstr>False</vt:lpwstr>
  </property>
  <property fmtid="{D5CDD505-2E9C-101B-9397-08002B2CF9AE}" pid="65" name="pairDelim">
    <vt:lpwstr>, </vt:lpwstr>
  </property>
  <property fmtid="{D5CDD505-2E9C-101B-9397-08002B2CF9AE}" pid="66" name="papersize">
    <vt:lpwstr>a4</vt:lpwstr>
  </property>
  <property fmtid="{D5CDD505-2E9C-101B-9397-08002B2CF9AE}" pid="67" name="polyglossia-lang">
    <vt:lpwstr/>
  </property>
  <property fmtid="{D5CDD505-2E9C-101B-9397-08002B2CF9AE}" pid="68" name="polyglossia-otherlangs">
    <vt:lpwstr/>
  </property>
  <property fmtid="{D5CDD505-2E9C-101B-9397-08002B2CF9AE}" pid="69" name="rangeDelim">
    <vt:lpwstr>-</vt:lpwstr>
  </property>
  <property fmtid="{D5CDD505-2E9C-101B-9397-08002B2CF9AE}" pid="70" name="refDelim">
    <vt:lpwstr>, </vt:lpwstr>
  </property>
  <property fmtid="{D5CDD505-2E9C-101B-9397-08002B2CF9AE}" pid="71" name="refIndexTemplate">
    <vt:lpwstr>isuf</vt:lpwstr>
  </property>
  <property fmtid="{D5CDD505-2E9C-101B-9397-08002B2CF9AE}" pid="72" name="romanfont">
    <vt:lpwstr>IBM Plex Serif</vt:lpwstr>
  </property>
  <property fmtid="{D5CDD505-2E9C-101B-9397-08002B2CF9AE}" pid="73" name="romanfontoptions">
    <vt:lpwstr>Ligatures=Common,Ligatures=TeX,Scale=0.94</vt:lpwstr>
  </property>
  <property fmtid="{D5CDD505-2E9C-101B-9397-08002B2CF9AE}" pid="74" name="sansfont">
    <vt:lpwstr>IBM Plex Sans</vt:lpwstr>
  </property>
  <property fmtid="{D5CDD505-2E9C-101B-9397-08002B2CF9AE}" pid="75" name="sansfontoptions">
    <vt:lpwstr>Ligatures=Common,Ligatures=TeX,Scale=MatchLowercase,Scale=0.94</vt:lpwstr>
  </property>
  <property fmtid="{D5CDD505-2E9C-101B-9397-08002B2CF9AE}" pid="76" name="secHeaderDelim">
    <vt:lpwstr> </vt:lpwstr>
  </property>
  <property fmtid="{D5CDD505-2E9C-101B-9397-08002B2CF9AE}" pid="77" name="secHeaderTemplate">
    <vt:lpwstr>isecHeaderDelim[n]t</vt:lpwstr>
  </property>
  <property fmtid="{D5CDD505-2E9C-101B-9397-08002B2CF9AE}" pid="78" name="secLabels">
    <vt:lpwstr>arabic</vt:lpwstr>
  </property>
  <property fmtid="{D5CDD505-2E9C-101B-9397-08002B2CF9AE}" pid="79" name="secPrefix">
    <vt:lpwstr/>
  </property>
  <property fmtid="{D5CDD505-2E9C-101B-9397-08002B2CF9AE}" pid="80" name="secPrefixTemplate">
    <vt:lpwstr>p i</vt:lpwstr>
  </property>
  <property fmtid="{D5CDD505-2E9C-101B-9397-08002B2CF9AE}" pid="81" name="sectionsDepth">
    <vt:lpwstr>0</vt:lpwstr>
  </property>
  <property fmtid="{D5CDD505-2E9C-101B-9397-08002B2CF9AE}" pid="82" name="subfigGrid">
    <vt:lpwstr>False</vt:lpwstr>
  </property>
  <property fmtid="{D5CDD505-2E9C-101B-9397-08002B2CF9AE}" pid="83" name="subfigLabels">
    <vt:lpwstr>alpha a</vt:lpwstr>
  </property>
  <property fmtid="{D5CDD505-2E9C-101B-9397-08002B2CF9AE}" pid="84" name="subfigureChildTemplate">
    <vt:lpwstr>i</vt:lpwstr>
  </property>
  <property fmtid="{D5CDD505-2E9C-101B-9397-08002B2CF9AE}" pid="85" name="subfigureRefIndexTemplate">
    <vt:lpwstr>isuf (s)</vt:lpwstr>
  </property>
  <property fmtid="{D5CDD505-2E9C-101B-9397-08002B2CF9AE}" pid="86" name="subfigureTemplate">
    <vt:lpwstr>figureTitle ititleDelim t. ccs</vt:lpwstr>
  </property>
  <property fmtid="{D5CDD505-2E9C-101B-9397-08002B2CF9AE}" pid="87" name="subtitle">
    <vt:lpwstr>Дисциплина: архитектура компьютера</vt:lpwstr>
  </property>
  <property fmtid="{D5CDD505-2E9C-101B-9397-08002B2CF9AE}" pid="88" name="tableEqns">
    <vt:lpwstr>False</vt:lpwstr>
  </property>
  <property fmtid="{D5CDD505-2E9C-101B-9397-08002B2CF9AE}" pid="89" name="tableTemplate">
    <vt:lpwstr>tableTitle ititleDelim t</vt:lpwstr>
  </property>
  <property fmtid="{D5CDD505-2E9C-101B-9397-08002B2CF9AE}" pid="90" name="tableTitle">
    <vt:lpwstr>Таблица</vt:lpwstr>
  </property>
  <property fmtid="{D5CDD505-2E9C-101B-9397-08002B2CF9AE}" pid="91" name="tblLabels">
    <vt:lpwstr>arabic</vt:lpwstr>
  </property>
  <property fmtid="{D5CDD505-2E9C-101B-9397-08002B2CF9AE}" pid="92" name="tblPrefix">
    <vt:lpwstr/>
  </property>
  <property fmtid="{D5CDD505-2E9C-101B-9397-08002B2CF9AE}" pid="93" name="tblPrefixTemplate">
    <vt:lpwstr>p i</vt:lpwstr>
  </property>
  <property fmtid="{D5CDD505-2E9C-101B-9397-08002B2CF9AE}" pid="94" name="titleDelim">
    <vt:lpwstr>:</vt:lpwstr>
  </property>
  <property fmtid="{D5CDD505-2E9C-101B-9397-08002B2CF9AE}" pid="95" name="toc">
    <vt:lpwstr>True</vt:lpwstr>
  </property>
  <property fmtid="{D5CDD505-2E9C-101B-9397-08002B2CF9AE}" pid="96" name="toc-depth">
    <vt:lpwstr>2</vt:lpwstr>
  </property>
  <property fmtid="{D5CDD505-2E9C-101B-9397-08002B2CF9AE}" pid="97" name="toc-title">
    <vt:lpwstr>Содержание</vt:lpwstr>
  </property>
</Properties>
</file>