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sz w:val="22"/>
          <w:szCs w:val="22"/>
        </w:rPr>
        <w:t xml:space="preserve"/>
      </w:r>
    </w:p>
    <w:p>
      <w:pPr>
        <w:spacing w:after="120" w:before="0"/>
        <w:jc w:val="center"/>
      </w:pPr>
      <w:r>
        <w:rPr>
          <w:rFonts w:ascii="Arial" w:cs="Arial" w:eastAsia="Arial" w:hAnsi="Arial"/>
          <w:b/>
          <w:bCs/>
          <w:color w:val="1F4E79"/>
          <w:sz w:val="72"/>
          <w:szCs w:val="72"/>
        </w:rPr>
        <w:t xml:space="preserve">ANGAY</w:t>
      </w:r>
    </w:p>
    <w:p>
      <w:pPr>
        <w:spacing w:after="320" w:before="0"/>
        <w:jc w:val="center"/>
      </w:pPr>
      <w:r>
        <w:rPr>
          <w:rFonts w:ascii="Arial" w:cs="Arial" w:eastAsia="Arial" w:hAnsi="Arial"/>
          <w:i/>
          <w:iCs/>
          <w:color w:val="2E75B6"/>
          <w:sz w:val="32"/>
          <w:szCs w:val="32"/>
        </w:rPr>
        <w:t xml:space="preserve">Accessible Nutrition &amp; Goods Assistance for You</w:t>
      </w:r>
    </w:p>
    <w:p>
      <w:pPr>
        <w:pBdr>
          <w:bottom w:val="single" w:color="2E75B6" w:sz="12"/>
        </w:pBdr>
        <w:spacing w:after="320" w:before="0"/>
      </w:pPr>
      <w:r>
        <w:t xml:space="preserve"/>
      </w:r>
    </w:p>
    <w:p>
      <w:pPr>
        <w:spacing w:after="600" w:before="0"/>
        <w:jc w:val="center"/>
      </w:pPr>
      <w:r>
        <w:rPr>
          <w:rFonts w:ascii="Arial" w:cs="Arial" w:eastAsia="Arial" w:hAnsi="Arial"/>
          <w:color w:val="444444"/>
          <w:sz w:val="28"/>
          <w:szCs w:val="28"/>
        </w:rPr>
        <w:t xml:space="preserve">A Demographic-Informed Food Assistance Coordination System</w:t>
      </w:r>
    </w:p>
    <w:p>
      <w:pPr>
        <w:spacing w:after="80" w:before="0"/>
        <w:jc w:val="center"/>
      </w:pPr>
      <w:r>
        <w:rPr>
          <w:rFonts w:ascii="Arial" w:cs="Arial" w:eastAsia="Arial" w:hAnsi="Arial"/>
          <w:color w:val="555555"/>
          <w:sz w:val="24"/>
          <w:szCs w:val="24"/>
        </w:rPr>
        <w:t xml:space="preserve">System Analysis, User Flow Specification,</w:t>
      </w:r>
    </w:p>
    <w:p>
      <w:pPr>
        <w:spacing w:after="1200" w:before="0"/>
        <w:jc w:val="center"/>
      </w:pPr>
      <w:r>
        <w:rPr>
          <w:rFonts w:ascii="Arial" w:cs="Arial" w:eastAsia="Arial" w:hAnsi="Arial"/>
          <w:color w:val="555555"/>
          <w:sz w:val="24"/>
          <w:szCs w:val="24"/>
        </w:rPr>
        <w:t xml:space="preserve">Problem Description &amp; Solution Framework with Literature Review</w:t>
      </w:r>
    </w:p>
    <w:p>
      <w:pPr>
        <w:spacing w:after="80" w:before="0"/>
        <w:jc w:val="center"/>
      </w:pPr>
      <w:r>
        <w:rPr>
          <w:rFonts w:ascii="Arial" w:cs="Arial" w:eastAsia="Arial" w:hAnsi="Arial"/>
          <w:color w:val="2E75B6"/>
          <w:sz w:val="22"/>
          <w:szCs w:val="22"/>
        </w:rPr>
        <w:t xml:space="preserve">SDG 2: Zero Hunger  |  SDG 11: Sustainable Cities and Communities</w:t>
      </w:r>
    </w:p>
    <w:p>
      <w:r>
        <w:br w:type="page"/>
      </w:r>
    </w:p>
    <w:p>
      <w:pPr>
        <w:spacing w:after="80" w:before="240"/>
      </w:pPr>
      <w:r>
        <w:rPr>
          <w:rFonts w:ascii="Arial" w:cs="Arial" w:eastAsia="Arial" w:hAnsi="Arial"/>
          <w:b/>
          <w:bCs/>
          <w:color w:val="2E75B6"/>
          <w:sz w:val="36"/>
          <w:szCs w:val="36"/>
        </w:rPr>
        <w:t xml:space="preserve">PART 1</w:t>
      </w:r>
    </w:p>
    <w:p>
      <w:pPr>
        <w:pStyle w:val="Heading1"/>
        <w:pBdr>
          <w:bottom w:val="single" w:color="2E75B6" w:sz="8" w:space="4"/>
        </w:pBdr>
        <w:spacing w:after="200" w:before="360"/>
      </w:pPr>
      <w:r>
        <w:rPr>
          <w:rFonts w:ascii="Arial" w:cs="Arial" w:eastAsia="Arial" w:hAnsi="Arial"/>
          <w:b/>
          <w:bCs/>
          <w:color w:val="1F4E79"/>
          <w:sz w:val="32"/>
          <w:szCs w:val="32"/>
        </w:rPr>
        <w:t xml:space="preserve">User Flow and Feature Specifications</w:t>
      </w:r>
    </w:p>
    <w:p>
      <w:pPr>
        <w:spacing w:after="100" w:before="80"/>
      </w:pPr>
      <w:r>
        <w:rPr>
          <w:rFonts w:ascii="Arial" w:cs="Arial" w:eastAsia="Arial" w:hAnsi="Arial"/>
          <w:sz w:val="22"/>
          <w:szCs w:val="22"/>
        </w:rPr>
        <w:t xml:space="preserve">This section defines the complete user flows and feature specifications for ANGAY's two primary user roles: the </w:t>
      </w:r>
      <w:r>
        <w:rPr>
          <w:rFonts w:ascii="Arial" w:cs="Arial" w:eastAsia="Arial" w:hAnsi="Arial"/>
          <w:b/>
          <w:bCs/>
          <w:sz w:val="22"/>
          <w:szCs w:val="22"/>
        </w:rPr>
        <w:t xml:space="preserve">Barangay Secretary</w:t>
      </w:r>
      <w:r>
        <w:rPr>
          <w:rFonts w:ascii="Arial" w:cs="Arial" w:eastAsia="Arial" w:hAnsi="Arial"/>
          <w:sz w:val="22"/>
          <w:szCs w:val="22"/>
        </w:rPr>
        <w:t xml:space="preserve"> and the </w:t>
      </w:r>
      <w:r>
        <w:rPr>
          <w:rFonts w:ascii="Arial" w:cs="Arial" w:eastAsia="Arial" w:hAnsi="Arial"/>
          <w:b/>
          <w:bCs/>
          <w:sz w:val="22"/>
          <w:szCs w:val="22"/>
        </w:rPr>
        <w:t xml:space="preserve">Foodbank Representative</w:t>
      </w:r>
      <w:r>
        <w:rPr>
          <w:rFonts w:ascii="Arial" w:cs="Arial" w:eastAsia="Arial" w:hAnsi="Arial"/>
          <w:sz w:val="22"/>
          <w:szCs w:val="22"/>
        </w:rPr>
        <w:t xml:space="preserve">. Each role has distinct responsibilities, access rights, and interaction patterns within the system.</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1.1  System Overview: Roles &amp; Access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Role</w:t>
            </w:r>
          </w:p>
        </w:tc>
        <w:tc>
          <w:tcPr>
            <w:tcW w:type="dxa" w:w="28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Primary Functions</w:t>
            </w:r>
          </w:p>
        </w:tc>
        <w:tc>
          <w:tcPr>
            <w:tcW w:type="dxa" w:w="28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Can View</w:t>
            </w:r>
          </w:p>
        </w:tc>
        <w:tc>
          <w:tcPr>
            <w:tcW w:type="dxa" w:w="19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Cannot Access</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Barangay Secretary</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Encode demographic profiles; confirm/reject distribution proposals; log completed distributions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Own barangay's demographics and history; pending proposals addressed to their barangay; admin dashboard (read-only)</w:t>
            </w:r>
          </w:p>
        </w:tc>
        <w:tc>
          <w:tcPr>
            <w:tcW w:type="dxa" w:w="1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Foodbank inventory details; other barangays' proposal queues; system-wide admin settings</w:t>
            </w:r>
          </w:p>
        </w:tc>
      </w:tr>
      <w:tr>
        <w:tc>
          <w:tcPr>
            <w:tcW w:type="dxa" w:w="1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Foodbank Representative</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Input and manage inventory; view all barangay demographics via map; propose distribution schedules</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All barangay demographic profiles; full map with filters; inventory dashboard; distribution history</w:t>
            </w:r>
          </w:p>
        </w:tc>
        <w:tc>
          <w:tcPr>
            <w:tcW w:type="dxa" w:w="19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Individual household-level data (none stored); Secretary login credentials; approval override functions</w:t>
            </w:r>
          </w:p>
        </w:tc>
      </w:tr>
    </w:tbl>
    <w:p>
      <w:pPr>
        <w:spacing w:after="80" w:before="80"/>
      </w:pPr>
      <w:r>
        <w:t xml:space="preserve"/>
      </w:r>
    </w:p>
    <w:p>
      <w:pPr>
        <w:pBdr>
          <w:bottom w:val="single" w:color="BDD7EE" w:sz="4" w:space="1"/>
        </w:pBdr>
        <w:spacing w:after="120" w:before="120"/>
      </w:pPr>
      <w:r>
        <w:t xml:space="preserve"/>
      </w:r>
    </w:p>
    <w:p>
      <w:pPr>
        <w:spacing w:after="120" w:before="280"/>
      </w:pPr>
      <w:r>
        <w:rPr>
          <w:rFonts w:ascii="Arial" w:cs="Arial" w:eastAsia="Arial" w:hAnsi="Arial"/>
          <w:b/>
          <w:bCs/>
          <w:color w:val="1F4E79"/>
          <w:sz w:val="30"/>
          <w:szCs w:val="30"/>
        </w:rPr>
        <w:t xml:space="preserve">ROLE 1  </w:t>
      </w:r>
      <w:r>
        <w:rPr>
          <w:rFonts w:ascii="Arial" w:cs="Arial" w:eastAsia="Arial" w:hAnsi="Arial"/>
          <w:b/>
          <w:bCs/>
          <w:color w:val="2E75B6"/>
          <w:sz w:val="30"/>
          <w:szCs w:val="30"/>
        </w:rPr>
        <w:t xml:space="preserve">Barangay Secretary</w:t>
      </w:r>
    </w:p>
    <w:p>
      <w:pPr>
        <w:pStyle w:val="Heading2"/>
        <w:spacing w:after="140" w:before="280"/>
      </w:pPr>
      <w:r>
        <w:rPr>
          <w:rFonts w:ascii="Arial" w:cs="Arial" w:eastAsia="Arial" w:hAnsi="Arial"/>
          <w:b/>
          <w:bCs/>
          <w:color w:val="2E75B6"/>
          <w:sz w:val="26"/>
          <w:szCs w:val="26"/>
        </w:rPr>
        <w:t xml:space="preserve">1.2  Screens &amp; Pages — Barangay Secretary</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760"/>
      </w:tblGrid>
      <w:tr>
        <w:trPr>
          <w:tblHeader/>
        </w:trPr>
        <w:tc>
          <w:tcPr>
            <w:tcW w:type="dxa" w:w="22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Screen / Page</w:t>
            </w:r>
          </w:p>
        </w:tc>
        <w:tc>
          <w:tcPr>
            <w:tcW w:type="dxa" w:w="30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Purpose</w:t>
            </w:r>
          </w:p>
        </w:tc>
        <w:tc>
          <w:tcPr>
            <w:tcW w:type="dxa" w:w="37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Access Trigger</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Login Page</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Authenticate Secretary by barangay credentials</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Direct URL / app launch</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Secretary Dashboard</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Overview: pending proposals, recent distributions, profile status</w:t>
            </w:r>
          </w:p>
        </w:tc>
        <w:tc>
          <w:tcPr>
            <w:tcW w:type="dxa" w:w="3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Post-login landing</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Demographic Profile — View</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Read current aggregated demographic record</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Dashboard → 'My Profile'</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Demographic Profile — Create/Edit</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Add or update aggregated barangay data</w:t>
            </w:r>
          </w:p>
        </w:tc>
        <w:tc>
          <w:tcPr>
            <w:tcW w:type="dxa" w:w="3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Dashboard → 'Update Profile'</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Distribution Proposals — Inbox</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List of pending proposals from Foodbanks</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Dashboard → 'Proposals'</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Proposal Detail View</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Review full proposal: goods, quantity, date, Foodbank</w:t>
            </w:r>
          </w:p>
        </w:tc>
        <w:tc>
          <w:tcPr>
            <w:tcW w:type="dxa" w:w="3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Select proposal in Inbox</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Confirm / Reject Proposal</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Approve or decline the proposal with optional remarks</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Within Proposal Detail</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Distribution Log — Entry</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Record completed distribution details</w:t>
            </w:r>
          </w:p>
        </w:tc>
        <w:tc>
          <w:tcPr>
            <w:tcW w:type="dxa" w:w="3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Dashboard → 'Log Distribution'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Distribution History</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View all past distributions for this barangay</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Dashboard → 'History'</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Account Settings</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Change password, update contact details</w:t>
            </w:r>
          </w:p>
        </w:tc>
        <w:tc>
          <w:tcPr>
            <w:tcW w:type="dxa" w:w="3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Top-right menu</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1.3  Step-by-Step User Flow — Barangay Secretary</w:t>
      </w:r>
    </w:p>
    <w:p>
      <w:pPr>
        <w:pStyle w:val="Heading3"/>
        <w:spacing w:after="100" w:before="220"/>
      </w:pPr>
      <w:r>
        <w:rPr>
          <w:rFonts w:ascii="Arial" w:cs="Arial" w:eastAsia="Arial" w:hAnsi="Arial"/>
          <w:b/>
          <w:bCs/>
          <w:color w:val="244872"/>
          <w:sz w:val="23"/>
          <w:szCs w:val="23"/>
        </w:rPr>
        <w:t xml:space="preserve">Flow A: Login and Dashboard Access</w:t>
      </w:r>
    </w:p>
    <w:p>
      <w:pPr>
        <w:pStyle w:val="ListParagraph"/>
        <w:numPr>
          <w:ilvl w:val="0"/>
          <w:numId w:val="2"/>
        </w:numPr>
        <w:spacing w:after="60" w:before="40"/>
        <w:ind w:left="720" w:hanging="360"/>
      </w:pPr>
      <w:r>
        <w:rPr>
          <w:rFonts w:ascii="Arial" w:cs="Arial" w:eastAsia="Arial" w:hAnsi="Arial"/>
          <w:sz w:val="22"/>
          <w:szCs w:val="22"/>
        </w:rPr>
        <w:t xml:space="preserve">Secretary navigates to the ANGAY login page.</w:t>
      </w:r>
    </w:p>
    <w:p>
      <w:pPr>
        <w:pStyle w:val="ListParagraph"/>
        <w:numPr>
          <w:ilvl w:val="0"/>
          <w:numId w:val="2"/>
        </w:numPr>
        <w:spacing w:after="60" w:before="40"/>
        <w:ind w:left="720" w:hanging="360"/>
      </w:pPr>
      <w:r>
        <w:rPr>
          <w:rFonts w:ascii="Arial" w:cs="Arial" w:eastAsia="Arial" w:hAnsi="Arial"/>
          <w:sz w:val="22"/>
          <w:szCs w:val="22"/>
        </w:rPr>
        <w:t xml:space="preserve">Enters assigned username (barangay code) and password.</w:t>
      </w:r>
    </w:p>
    <w:p>
      <w:pPr>
        <w:pStyle w:val="ListParagraph"/>
        <w:numPr>
          <w:ilvl w:val="0"/>
          <w:numId w:val="2"/>
        </w:numPr>
        <w:spacing w:after="60" w:before="40"/>
        <w:ind w:left="720" w:hanging="360"/>
      </w:pPr>
      <w:r>
        <w:rPr>
          <w:rFonts w:ascii="Arial" w:cs="Arial" w:eastAsia="Arial" w:hAnsi="Arial"/>
          <w:sz w:val="22"/>
          <w:szCs w:val="22"/>
        </w:rPr>
        <w:t xml:space="preserve">System validates credentials against the barangay account registry.</w:t>
      </w:r>
    </w:p>
    <w:p>
      <w:pPr>
        <w:pStyle w:val="ListParagraph"/>
        <w:numPr>
          <w:ilvl w:val="0"/>
          <w:numId w:val="2"/>
        </w:numPr>
        <w:spacing w:after="60" w:before="40"/>
        <w:ind w:left="720" w:hanging="360"/>
      </w:pPr>
      <w:r>
        <w:rPr>
          <w:rFonts w:ascii="Arial" w:cs="Arial" w:eastAsia="Arial" w:hAnsi="Arial"/>
          <w:sz w:val="22"/>
          <w:szCs w:val="22"/>
        </w:rPr>
        <w:t xml:space="preserve">On success: redirected to the Secretary Dashboard.</w:t>
      </w:r>
    </w:p>
    <w:p>
      <w:pPr>
        <w:pStyle w:val="ListParagraph"/>
        <w:numPr>
          <w:ilvl w:val="0"/>
          <w:numId w:val="2"/>
        </w:numPr>
        <w:spacing w:after="60" w:before="40"/>
        <w:ind w:left="720" w:hanging="360"/>
      </w:pPr>
      <w:r>
        <w:rPr>
          <w:rFonts w:ascii="Arial" w:cs="Arial" w:eastAsia="Arial" w:hAnsi="Arial"/>
          <w:sz w:val="22"/>
          <w:szCs w:val="22"/>
        </w:rPr>
        <w:t xml:space="preserve">On failure: error message displayed; account locked after 5 failed attempts.</w:t>
      </w:r>
    </w:p>
    <w:p>
      <w:pPr>
        <w:pStyle w:val="ListParagraph"/>
        <w:numPr>
          <w:ilvl w:val="0"/>
          <w:numId w:val="2"/>
        </w:numPr>
        <w:spacing w:after="60" w:before="40"/>
        <w:ind w:left="720" w:hanging="360"/>
      </w:pPr>
      <w:r>
        <w:rPr>
          <w:rFonts w:ascii="Arial" w:cs="Arial" w:eastAsia="Arial" w:hAnsi="Arial"/>
          <w:sz w:val="22"/>
          <w:szCs w:val="22"/>
        </w:rPr>
        <w:t xml:space="preserve">Dashboard loads summary cards: pending proposals count, last profile update date, latest distribution log entry.</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Flow B: Demographic Profile Creation / Update</w:t>
      </w:r>
    </w:p>
    <w:p>
      <w:pPr>
        <w:pStyle w:val="ListParagraph"/>
        <w:numPr>
          <w:ilvl w:val="0"/>
          <w:numId w:val="2"/>
        </w:numPr>
        <w:spacing w:after="60" w:before="40"/>
        <w:ind w:left="720" w:hanging="360"/>
      </w:pPr>
      <w:r>
        <w:rPr>
          <w:rFonts w:ascii="Arial" w:cs="Arial" w:eastAsia="Arial" w:hAnsi="Arial"/>
          <w:sz w:val="22"/>
          <w:szCs w:val="22"/>
        </w:rPr>
        <w:t xml:space="preserve">Secretary clicks 'Update Profile' on the dashboard.</w:t>
      </w:r>
    </w:p>
    <w:p>
      <w:pPr>
        <w:pStyle w:val="ListParagraph"/>
        <w:numPr>
          <w:ilvl w:val="0"/>
          <w:numId w:val="2"/>
        </w:numPr>
        <w:spacing w:after="60" w:before="40"/>
        <w:ind w:left="720" w:hanging="360"/>
      </w:pPr>
      <w:r>
        <w:rPr>
          <w:rFonts w:ascii="Arial" w:cs="Arial" w:eastAsia="Arial" w:hAnsi="Arial"/>
          <w:sz w:val="22"/>
          <w:szCs w:val="22"/>
        </w:rPr>
        <w:t xml:space="preserve">System loads the Demographic Profile form, pre-filled with existing data (if any).</w:t>
      </w:r>
    </w:p>
    <w:p>
      <w:pPr>
        <w:pStyle w:val="ListParagraph"/>
        <w:numPr>
          <w:ilvl w:val="0"/>
          <w:numId w:val="2"/>
        </w:numPr>
        <w:spacing w:after="60" w:before="40"/>
        <w:ind w:left="720" w:hanging="360"/>
      </w:pPr>
      <w:r>
        <w:rPr>
          <w:rFonts w:ascii="Arial" w:cs="Arial" w:eastAsia="Arial" w:hAnsi="Arial"/>
          <w:sz w:val="22"/>
          <w:szCs w:val="22"/>
        </w:rPr>
        <w:t xml:space="preserve">Secretary fills in or updates all required fields (see Feature Detail below).</w:t>
      </w:r>
    </w:p>
    <w:p>
      <w:pPr>
        <w:pStyle w:val="ListParagraph"/>
        <w:numPr>
          <w:ilvl w:val="0"/>
          <w:numId w:val="2"/>
        </w:numPr>
        <w:spacing w:after="60" w:before="40"/>
        <w:ind w:left="720" w:hanging="360"/>
      </w:pPr>
      <w:r>
        <w:rPr>
          <w:rFonts w:ascii="Arial" w:cs="Arial" w:eastAsia="Arial" w:hAnsi="Arial"/>
          <w:sz w:val="22"/>
          <w:szCs w:val="22"/>
        </w:rPr>
        <w:t xml:space="preserve">Secretary clicks 'Save Profile'.</w:t>
      </w:r>
    </w:p>
    <w:p>
      <w:pPr>
        <w:pStyle w:val="ListParagraph"/>
        <w:numPr>
          <w:ilvl w:val="0"/>
          <w:numId w:val="2"/>
        </w:numPr>
        <w:spacing w:after="60" w:before="40"/>
        <w:ind w:left="720" w:hanging="360"/>
      </w:pPr>
      <w:r>
        <w:rPr>
          <w:rFonts w:ascii="Arial" w:cs="Arial" w:eastAsia="Arial" w:hAnsi="Arial"/>
          <w:sz w:val="22"/>
          <w:szCs w:val="22"/>
        </w:rPr>
        <w:t xml:space="preserve">System validates all fields; displays inline errors if validation fails.</w:t>
      </w:r>
    </w:p>
    <w:p>
      <w:pPr>
        <w:pStyle w:val="ListParagraph"/>
        <w:numPr>
          <w:ilvl w:val="0"/>
          <w:numId w:val="2"/>
        </w:numPr>
        <w:spacing w:after="60" w:before="40"/>
        <w:ind w:left="720" w:hanging="360"/>
      </w:pPr>
      <w:r>
        <w:rPr>
          <w:rFonts w:ascii="Arial" w:cs="Arial" w:eastAsia="Arial" w:hAnsi="Arial"/>
          <w:sz w:val="22"/>
          <w:szCs w:val="22"/>
        </w:rPr>
        <w:t xml:space="preserve">On valid submission: system auto-generates a Demographic Summary card and timestamps the update.</w:t>
      </w:r>
    </w:p>
    <w:p>
      <w:pPr>
        <w:pStyle w:val="ListParagraph"/>
        <w:numPr>
          <w:ilvl w:val="0"/>
          <w:numId w:val="2"/>
        </w:numPr>
        <w:spacing w:after="60" w:before="40"/>
        <w:ind w:left="720" w:hanging="360"/>
      </w:pPr>
      <w:r>
        <w:rPr>
          <w:rFonts w:ascii="Arial" w:cs="Arial" w:eastAsia="Arial" w:hAnsi="Arial"/>
          <w:sz w:val="22"/>
          <w:szCs w:val="22"/>
        </w:rPr>
        <w:t xml:space="preserve">Success confirmation message shown; Secretary is returned to the dashboard.</w:t>
      </w:r>
    </w:p>
    <w:p>
      <w:pPr>
        <w:pStyle w:val="ListParagraph"/>
        <w:numPr>
          <w:ilvl w:val="0"/>
          <w:numId w:val="2"/>
        </w:numPr>
        <w:spacing w:after="60" w:before="40"/>
        <w:ind w:left="720" w:hanging="360"/>
      </w:pPr>
      <w:r>
        <w:rPr>
          <w:rFonts w:ascii="Arial" w:cs="Arial" w:eastAsia="Arial" w:hAnsi="Arial"/>
          <w:sz w:val="22"/>
          <w:szCs w:val="22"/>
        </w:rPr>
        <w:t xml:space="preserve">The updated profile becomes immediately accessible to Foodbank Representatives on the map.</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Flow C: Distribution Proposal Review</w:t>
      </w:r>
    </w:p>
    <w:p>
      <w:pPr>
        <w:pStyle w:val="ListParagraph"/>
        <w:numPr>
          <w:ilvl w:val="0"/>
          <w:numId w:val="2"/>
        </w:numPr>
        <w:spacing w:after="60" w:before="40"/>
        <w:ind w:left="720" w:hanging="360"/>
      </w:pPr>
      <w:r>
        <w:rPr>
          <w:rFonts w:ascii="Arial" w:cs="Arial" w:eastAsia="Arial" w:hAnsi="Arial"/>
          <w:sz w:val="22"/>
          <w:szCs w:val="22"/>
        </w:rPr>
        <w:t xml:space="preserve">Secretary opens the 'Proposals' inbox from the dashboard.</w:t>
      </w:r>
    </w:p>
    <w:p>
      <w:pPr>
        <w:pStyle w:val="ListParagraph"/>
        <w:numPr>
          <w:ilvl w:val="0"/>
          <w:numId w:val="2"/>
        </w:numPr>
        <w:spacing w:after="60" w:before="40"/>
        <w:ind w:left="720" w:hanging="360"/>
      </w:pPr>
      <w:r>
        <w:rPr>
          <w:rFonts w:ascii="Arial" w:cs="Arial" w:eastAsia="Arial" w:hAnsi="Arial"/>
          <w:sz w:val="22"/>
          <w:szCs w:val="22"/>
        </w:rPr>
        <w:t xml:space="preserve">List of pending proposals is displayed, sorted by received date (newest first).</w:t>
      </w:r>
    </w:p>
    <w:p>
      <w:pPr>
        <w:pStyle w:val="ListParagraph"/>
        <w:numPr>
          <w:ilvl w:val="0"/>
          <w:numId w:val="2"/>
        </w:numPr>
        <w:spacing w:after="60" w:before="40"/>
        <w:ind w:left="720" w:hanging="360"/>
      </w:pPr>
      <w:r>
        <w:rPr>
          <w:rFonts w:ascii="Arial" w:cs="Arial" w:eastAsia="Arial" w:hAnsi="Arial"/>
          <w:sz w:val="22"/>
          <w:szCs w:val="22"/>
        </w:rPr>
        <w:t xml:space="preserve">Secretary selects a proposal to view its full details.</w:t>
      </w:r>
    </w:p>
    <w:p>
      <w:pPr>
        <w:pStyle w:val="ListParagraph"/>
        <w:numPr>
          <w:ilvl w:val="0"/>
          <w:numId w:val="2"/>
        </w:numPr>
        <w:spacing w:after="60" w:before="40"/>
        <w:ind w:left="720" w:hanging="360"/>
      </w:pPr>
      <w:r>
        <w:rPr>
          <w:rFonts w:ascii="Arial" w:cs="Arial" w:eastAsia="Arial" w:hAnsi="Arial"/>
          <w:sz w:val="22"/>
          <w:szCs w:val="22"/>
        </w:rPr>
        <w:t xml:space="preserve">Proposal Detail shows: proposing Foodbank name, proposed goods type and quantity, proposed distribution date, and Foodbank contact.</w:t>
      </w:r>
    </w:p>
    <w:p>
      <w:pPr>
        <w:pStyle w:val="ListParagraph"/>
        <w:numPr>
          <w:ilvl w:val="0"/>
          <w:numId w:val="2"/>
        </w:numPr>
        <w:spacing w:after="60" w:before="40"/>
        <w:ind w:left="720" w:hanging="360"/>
      </w:pPr>
      <w:r>
        <w:rPr>
          <w:rFonts w:ascii="Arial" w:cs="Arial" w:eastAsia="Arial" w:hAnsi="Arial"/>
          <w:sz w:val="22"/>
          <w:szCs w:val="22"/>
        </w:rPr>
        <w:t xml:space="preserve">Secretary evaluates the proposal against barangay needs and schedule.</w:t>
      </w:r>
    </w:p>
    <w:p>
      <w:pPr>
        <w:pStyle w:val="ListParagraph"/>
        <w:numPr>
          <w:ilvl w:val="0"/>
          <w:numId w:val="2"/>
        </w:numPr>
        <w:spacing w:after="60" w:before="40"/>
        <w:ind w:left="720" w:hanging="360"/>
      </w:pPr>
      <w:r>
        <w:rPr>
          <w:rFonts w:ascii="Arial" w:cs="Arial" w:eastAsia="Arial" w:hAnsi="Arial"/>
          <w:sz w:val="22"/>
          <w:szCs w:val="22"/>
        </w:rPr>
        <w:t xml:space="preserve">Secretary clicks 'Confirm' or 'Decline'.</w:t>
      </w:r>
    </w:p>
    <w:p>
      <w:pPr>
        <w:pStyle w:val="ListParagraph"/>
        <w:numPr>
          <w:ilvl w:val="0"/>
          <w:numId w:val="2"/>
        </w:numPr>
        <w:spacing w:after="60" w:before="40"/>
        <w:ind w:left="720" w:hanging="360"/>
      </w:pPr>
      <w:r>
        <w:rPr>
          <w:rFonts w:ascii="Arial" w:cs="Arial" w:eastAsia="Arial" w:hAnsi="Arial"/>
          <w:sz w:val="22"/>
          <w:szCs w:val="22"/>
        </w:rPr>
        <w:t xml:space="preserve">If declined: Secretary may enter optional remarks (e.g., scheduling conflict, mismatch in goods type).</w:t>
      </w:r>
    </w:p>
    <w:p>
      <w:pPr>
        <w:pStyle w:val="ListParagraph"/>
        <w:numPr>
          <w:ilvl w:val="0"/>
          <w:numId w:val="2"/>
        </w:numPr>
        <w:spacing w:after="60" w:before="40"/>
        <w:ind w:left="720" w:hanging="360"/>
      </w:pPr>
      <w:r>
        <w:rPr>
          <w:rFonts w:ascii="Arial" w:cs="Arial" w:eastAsia="Arial" w:hAnsi="Arial"/>
          <w:sz w:val="22"/>
          <w:szCs w:val="22"/>
        </w:rPr>
        <w:t xml:space="preserve">System updates the proposal status, notifies the Foodbank Representative, and archives the record.</w:t>
      </w:r>
    </w:p>
    <w:p>
      <w:pPr>
        <w:pStyle w:val="ListParagraph"/>
        <w:numPr>
          <w:ilvl w:val="0"/>
          <w:numId w:val="2"/>
        </w:numPr>
        <w:spacing w:after="60" w:before="40"/>
        <w:ind w:left="720" w:hanging="360"/>
      </w:pPr>
      <w:r>
        <w:rPr>
          <w:rFonts w:ascii="Arial" w:cs="Arial" w:eastAsia="Arial" w:hAnsi="Arial"/>
          <w:sz w:val="22"/>
          <w:szCs w:val="22"/>
        </w:rPr>
        <w:t xml:space="preserve">Confirmed proposals trigger an archived log entry awaiting actual distribution logging.</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Flow D: Logging a Completed Distribution</w:t>
      </w:r>
    </w:p>
    <w:p>
      <w:pPr>
        <w:pStyle w:val="ListParagraph"/>
        <w:numPr>
          <w:ilvl w:val="0"/>
          <w:numId w:val="2"/>
        </w:numPr>
        <w:spacing w:after="60" w:before="40"/>
        <w:ind w:left="720" w:hanging="360"/>
      </w:pPr>
      <w:r>
        <w:rPr>
          <w:rFonts w:ascii="Arial" w:cs="Arial" w:eastAsia="Arial" w:hAnsi="Arial"/>
          <w:sz w:val="22"/>
          <w:szCs w:val="22"/>
        </w:rPr>
        <w:t xml:space="preserve">Secretary navigates to 'Log Distribution' from the dashboard.</w:t>
      </w:r>
    </w:p>
    <w:p>
      <w:pPr>
        <w:pStyle w:val="ListParagraph"/>
        <w:numPr>
          <w:ilvl w:val="0"/>
          <w:numId w:val="2"/>
        </w:numPr>
        <w:spacing w:after="60" w:before="40"/>
        <w:ind w:left="720" w:hanging="360"/>
      </w:pPr>
      <w:r>
        <w:rPr>
          <w:rFonts w:ascii="Arial" w:cs="Arial" w:eastAsia="Arial" w:hAnsi="Arial"/>
          <w:sz w:val="22"/>
          <w:szCs w:val="22"/>
        </w:rPr>
        <w:t xml:space="preserve">If a confirmed proposal exists: Secretary may select it to pre-fill the log form.</w:t>
      </w:r>
    </w:p>
    <w:p>
      <w:pPr>
        <w:pStyle w:val="ListParagraph"/>
        <w:numPr>
          <w:ilvl w:val="0"/>
          <w:numId w:val="2"/>
        </w:numPr>
        <w:spacing w:after="60" w:before="40"/>
        <w:ind w:left="720" w:hanging="360"/>
      </w:pPr>
      <w:r>
        <w:rPr>
          <w:rFonts w:ascii="Arial" w:cs="Arial" w:eastAsia="Arial" w:hAnsi="Arial"/>
          <w:sz w:val="22"/>
          <w:szCs w:val="22"/>
        </w:rPr>
        <w:t xml:space="preserve">Secretary completes the log form (see Feature Detail below).</w:t>
      </w:r>
    </w:p>
    <w:p>
      <w:pPr>
        <w:pStyle w:val="ListParagraph"/>
        <w:numPr>
          <w:ilvl w:val="0"/>
          <w:numId w:val="2"/>
        </w:numPr>
        <w:spacing w:after="60" w:before="40"/>
        <w:ind w:left="720" w:hanging="360"/>
      </w:pPr>
      <w:r>
        <w:rPr>
          <w:rFonts w:ascii="Arial" w:cs="Arial" w:eastAsia="Arial" w:hAnsi="Arial"/>
          <w:sz w:val="22"/>
          <w:szCs w:val="22"/>
        </w:rPr>
        <w:t xml:space="preserve">Secretary clicks 'Submit Log'.</w:t>
      </w:r>
    </w:p>
    <w:p>
      <w:pPr>
        <w:pStyle w:val="ListParagraph"/>
        <w:numPr>
          <w:ilvl w:val="0"/>
          <w:numId w:val="2"/>
        </w:numPr>
        <w:spacing w:after="60" w:before="40"/>
        <w:ind w:left="720" w:hanging="360"/>
      </w:pPr>
      <w:r>
        <w:rPr>
          <w:rFonts w:ascii="Arial" w:cs="Arial" w:eastAsia="Arial" w:hAnsi="Arial"/>
          <w:sz w:val="22"/>
          <w:szCs w:val="22"/>
        </w:rPr>
        <w:t xml:space="preserve">System validates entries, records the distribution, and archives the log.</w:t>
      </w:r>
    </w:p>
    <w:p>
      <w:pPr>
        <w:pStyle w:val="ListParagraph"/>
        <w:numPr>
          <w:ilvl w:val="0"/>
          <w:numId w:val="2"/>
        </w:numPr>
        <w:spacing w:after="60" w:before="40"/>
        <w:ind w:left="720" w:hanging="360"/>
      </w:pPr>
      <w:r>
        <w:rPr>
          <w:rFonts w:ascii="Arial" w:cs="Arial" w:eastAsia="Arial" w:hAnsi="Arial"/>
          <w:sz w:val="22"/>
          <w:szCs w:val="22"/>
        </w:rPr>
        <w:t xml:space="preserve">Entry is visible in the Secretary's Distribution History and on the Admin Dashboard.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1.4  Feature Details — Barangay Secretary</w:t>
      </w:r>
    </w:p>
    <w:p>
      <w:pPr>
        <w:pStyle w:val="Heading3"/>
        <w:spacing w:after="100" w:before="220"/>
      </w:pPr>
      <w:r>
        <w:rPr>
          <w:rFonts w:ascii="Arial" w:cs="Arial" w:eastAsia="Arial" w:hAnsi="Arial"/>
          <w:b/>
          <w:bCs/>
          <w:color w:val="244872"/>
          <w:sz w:val="23"/>
          <w:szCs w:val="23"/>
        </w:rPr>
        <w:t xml:space="preserve">Feature 1: Demographic Profile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Field</w:t>
            </w:r>
          </w:p>
        </w:tc>
        <w:tc>
          <w:tcPr>
            <w:tcW w:type="dxa" w:w="18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Type</w:t>
            </w:r>
          </w:p>
        </w:tc>
        <w:tc>
          <w:tcPr>
            <w:tcW w:type="dxa" w:w="53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Validation / Rules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Barangay Name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Auto-filled (read-only)</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Populated from account; cannot be edited</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Total Population</w:t>
            </w:r>
          </w:p>
        </w:tc>
        <w:tc>
          <w:tcPr>
            <w:tcW w:type="dxa" w:w="1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Numeric input</w:t>
            </w:r>
          </w:p>
        </w:tc>
        <w:tc>
          <w:tcPr>
            <w:tcW w:type="dxa" w:w="53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must be a positive integer; must be ≥ sum of sub-groups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Number of Senior Citizens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Numeric input</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 0 or positive integer; cannot exceed Total Population</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Number of Persons with Disabilities (PWDs)</w:t>
            </w:r>
          </w:p>
        </w:tc>
        <w:tc>
          <w:tcPr>
            <w:tcW w:type="dxa" w:w="1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Numeric input</w:t>
            </w:r>
          </w:p>
        </w:tc>
        <w:tc>
          <w:tcPr>
            <w:tcW w:type="dxa" w:w="53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0 or positive integer; cannot exceed Total Population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Number of Children (0–14 yrs)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Numeric input</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 0 or positive integer; cannot exceed Total Population</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Poverty Classification Level</w:t>
            </w:r>
          </w:p>
        </w:tc>
        <w:tc>
          <w:tcPr>
            <w:tcW w:type="dxa" w:w="1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Dropdown (Level 1–5)</w:t>
            </w:r>
          </w:p>
        </w:tc>
        <w:tc>
          <w:tcPr>
            <w:tcW w:type="dxa" w:w="53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based on standard LGU poverty classification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Last Census / Update Basis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Date picker</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 cannot be a future date</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Notes / Remarks</w:t>
            </w:r>
          </w:p>
        </w:tc>
        <w:tc>
          <w:tcPr>
            <w:tcW w:type="dxa" w:w="1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Text area (optional)</w:t>
            </w:r>
          </w:p>
        </w:tc>
        <w:tc>
          <w:tcPr>
            <w:tcW w:type="dxa" w:w="53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Max 500 characters; for context or known data gaps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Date of Last Profile Update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Auto-generated</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Set to current date/time on successful save</w:t>
            </w:r>
          </w:p>
        </w:tc>
      </w:tr>
    </w:tbl>
    <w:p>
      <w:pPr>
        <w:spacing w:after="80" w:before="80"/>
      </w:pPr>
      <w:r>
        <w:t xml:space="preserve"/>
      </w:r>
    </w:p>
    <w:p>
      <w:pPr>
        <w:spacing w:after="80" w:before="160"/>
      </w:pPr>
      <w:r>
        <w:rPr>
          <w:rFonts w:ascii="Arial" w:cs="Arial" w:eastAsia="Arial" w:hAnsi="Arial"/>
          <w:b/>
          <w:bCs/>
          <w:color w:val="2E4057"/>
          <w:sz w:val="22"/>
          <w:szCs w:val="22"/>
        </w:rPr>
        <w:t xml:space="preserve">Auto-Generated Demographic Summary</w:t>
      </w:r>
    </w:p>
    <w:p>
      <w:pPr>
        <w:spacing w:after="100" w:before="80"/>
      </w:pPr>
      <w:r>
        <w:rPr>
          <w:rFonts w:ascii="Arial" w:cs="Arial" w:eastAsia="Arial" w:hAnsi="Arial"/>
          <w:sz w:val="22"/>
          <w:szCs w:val="22"/>
        </w:rPr>
        <w:t xml:space="preserve">Upon saving, the system generates a read-only summary card displayed on the Secretary's profile page and the Foodbank's map pin popup. It includes:</w:t>
      </w:r>
    </w:p>
    <w:p>
      <w:pPr>
        <w:pStyle w:val="ListParagraph"/>
        <w:numPr>
          <w:ilvl w:val="0"/>
          <w:numId w:val="3"/>
        </w:numPr>
        <w:spacing w:after="60" w:before="40"/>
        <w:ind w:left="720" w:hanging="360"/>
      </w:pPr>
      <w:r>
        <w:rPr>
          <w:rFonts w:ascii="Arial" w:cs="Arial" w:eastAsia="Arial" w:hAnsi="Arial"/>
          <w:sz w:val="22"/>
          <w:szCs w:val="22"/>
        </w:rPr>
        <w:t xml:space="preserve">Total population and all sector counts</w:t>
      </w:r>
    </w:p>
    <w:p>
      <w:pPr>
        <w:pStyle w:val="ListParagraph"/>
        <w:numPr>
          <w:ilvl w:val="0"/>
          <w:numId w:val="3"/>
        </w:numPr>
        <w:spacing w:after="60" w:before="40"/>
        <w:ind w:left="720" w:hanging="360"/>
      </w:pPr>
      <w:r>
        <w:rPr>
          <w:rFonts w:ascii="Arial" w:cs="Arial" w:eastAsia="Arial" w:hAnsi="Arial"/>
          <w:sz w:val="22"/>
          <w:szCs w:val="22"/>
        </w:rPr>
        <w:t xml:space="preserve">Computed ratios: seniors per 100 residents, children per 100 residents, PWD per 100 residents</w:t>
      </w:r>
    </w:p>
    <w:p>
      <w:pPr>
        <w:pStyle w:val="ListParagraph"/>
        <w:numPr>
          <w:ilvl w:val="0"/>
          <w:numId w:val="3"/>
        </w:numPr>
        <w:spacing w:after="60" w:before="40"/>
        <w:ind w:left="720" w:hanging="360"/>
      </w:pPr>
      <w:r>
        <w:rPr>
          <w:rFonts w:ascii="Arial" w:cs="Arial" w:eastAsia="Arial" w:hAnsi="Arial"/>
          <w:sz w:val="22"/>
          <w:szCs w:val="22"/>
        </w:rPr>
        <w:t xml:space="preserve">Poverty classification label</w:t>
      </w:r>
    </w:p>
    <w:p>
      <w:pPr>
        <w:pStyle w:val="ListParagraph"/>
        <w:numPr>
          <w:ilvl w:val="0"/>
          <w:numId w:val="3"/>
        </w:numPr>
        <w:spacing w:after="60" w:before="40"/>
        <w:ind w:left="720" w:hanging="360"/>
      </w:pPr>
      <w:r>
        <w:rPr>
          <w:rFonts w:ascii="Arial" w:cs="Arial" w:eastAsia="Arial" w:hAnsi="Arial"/>
          <w:sz w:val="22"/>
          <w:szCs w:val="22"/>
        </w:rPr>
        <w:t xml:space="preserve">Date of last update</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Feature 2: Distribution Proposal Inbox</w:t>
      </w:r>
    </w:p>
    <w:p>
      <w:pPr>
        <w:pStyle w:val="ListParagraph"/>
        <w:numPr>
          <w:ilvl w:val="0"/>
          <w:numId w:val="3"/>
        </w:numPr>
        <w:spacing w:after="60" w:before="40"/>
        <w:ind w:left="720" w:hanging="360"/>
      </w:pPr>
      <w:r>
        <w:rPr>
          <w:rFonts w:ascii="Arial" w:cs="Arial" w:eastAsia="Arial" w:hAnsi="Arial"/>
          <w:b/>
          <w:bCs/>
          <w:sz w:val="22"/>
          <w:szCs w:val="22"/>
        </w:rPr>
        <w:t xml:space="preserve">View: </w:t>
      </w:r>
      <w:r>
        <w:rPr>
          <w:rFonts w:ascii="Arial" w:cs="Arial" w:eastAsia="Arial" w:hAnsi="Arial"/>
          <w:sz w:val="22"/>
          <w:szCs w:val="22"/>
        </w:rPr>
        <w:t xml:space="preserve">Sortable list with proposal status indicators (Pending, Confirmed, Declined, Archived)</w:t>
      </w:r>
    </w:p>
    <w:p>
      <w:pPr>
        <w:pStyle w:val="ListParagraph"/>
        <w:numPr>
          <w:ilvl w:val="0"/>
          <w:numId w:val="3"/>
        </w:numPr>
        <w:spacing w:after="60" w:before="40"/>
        <w:ind w:left="720" w:hanging="360"/>
      </w:pPr>
      <w:r>
        <w:rPr>
          <w:rFonts w:ascii="Arial" w:cs="Arial" w:eastAsia="Arial" w:hAnsi="Arial"/>
          <w:b/>
          <w:bCs/>
          <w:sz w:val="22"/>
          <w:szCs w:val="22"/>
        </w:rPr>
        <w:t xml:space="preserve">Filter: </w:t>
      </w:r>
      <w:r>
        <w:rPr>
          <w:rFonts w:ascii="Arial" w:cs="Arial" w:eastAsia="Arial" w:hAnsi="Arial"/>
          <w:sz w:val="22"/>
          <w:szCs w:val="22"/>
        </w:rPr>
        <w:t xml:space="preserve">By date received, status, Foodbank name</w:t>
      </w:r>
    </w:p>
    <w:p>
      <w:pPr>
        <w:pStyle w:val="ListParagraph"/>
        <w:numPr>
          <w:ilvl w:val="0"/>
          <w:numId w:val="3"/>
        </w:numPr>
        <w:spacing w:after="60" w:before="40"/>
        <w:ind w:left="720" w:hanging="360"/>
      </w:pPr>
      <w:r>
        <w:rPr>
          <w:rFonts w:ascii="Arial" w:cs="Arial" w:eastAsia="Arial" w:hAnsi="Arial"/>
          <w:b/>
          <w:bCs/>
          <w:sz w:val="22"/>
          <w:szCs w:val="22"/>
        </w:rPr>
        <w:t xml:space="preserve">Search: </w:t>
      </w:r>
      <w:r>
        <w:rPr>
          <w:rFonts w:ascii="Arial" w:cs="Arial" w:eastAsia="Arial" w:hAnsi="Arial"/>
          <w:sz w:val="22"/>
          <w:szCs w:val="22"/>
        </w:rPr>
        <w:t xml:space="preserve">By proposal ID or Foodbank name</w:t>
      </w:r>
    </w:p>
    <w:p>
      <w:pPr>
        <w:pStyle w:val="ListParagraph"/>
        <w:numPr>
          <w:ilvl w:val="0"/>
          <w:numId w:val="3"/>
        </w:numPr>
        <w:spacing w:after="60" w:before="40"/>
        <w:ind w:left="720" w:hanging="360"/>
      </w:pPr>
      <w:r>
        <w:rPr>
          <w:rFonts w:ascii="Arial" w:cs="Arial" w:eastAsia="Arial" w:hAnsi="Arial"/>
          <w:b/>
          <w:bCs/>
          <w:sz w:val="22"/>
          <w:szCs w:val="22"/>
        </w:rPr>
        <w:t xml:space="preserve">Action buttons: </w:t>
      </w:r>
      <w:r>
        <w:rPr>
          <w:rFonts w:ascii="Arial" w:cs="Arial" w:eastAsia="Arial" w:hAnsi="Arial"/>
          <w:sz w:val="22"/>
          <w:szCs w:val="22"/>
        </w:rPr>
        <w:t xml:space="preserve">'View', 'Confirm', 'Decline' (only available for Pending proposals)</w:t>
      </w:r>
    </w:p>
    <w:p>
      <w:pPr>
        <w:pStyle w:val="ListParagraph"/>
        <w:numPr>
          <w:ilvl w:val="0"/>
          <w:numId w:val="3"/>
        </w:numPr>
        <w:spacing w:after="60" w:before="40"/>
        <w:ind w:left="720" w:hanging="360"/>
      </w:pPr>
      <w:r>
        <w:rPr>
          <w:rFonts w:ascii="Arial" w:cs="Arial" w:eastAsia="Arial" w:hAnsi="Arial"/>
          <w:b/>
          <w:bCs/>
          <w:sz w:val="22"/>
          <w:szCs w:val="22"/>
        </w:rPr>
        <w:t xml:space="preserve">Remarks field: </w:t>
      </w:r>
      <w:r>
        <w:rPr>
          <w:rFonts w:ascii="Arial" w:cs="Arial" w:eastAsia="Arial" w:hAnsi="Arial"/>
          <w:sz w:val="22"/>
          <w:szCs w:val="22"/>
        </w:rPr>
        <w:t xml:space="preserve">Shown only when 'Decline' is selected; optional text, max 300 characters</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Feature 3: Distribution Log Entry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Field</w:t>
            </w:r>
          </w:p>
        </w:tc>
        <w:tc>
          <w:tcPr>
            <w:tcW w:type="dxa" w:w="20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Type</w:t>
            </w:r>
          </w:p>
        </w:tc>
        <w:tc>
          <w:tcPr>
            <w:tcW w:type="dxa" w:w="47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Validation</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Linked Proposal (optional)</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Dropdown of confirmed proposals</w:t>
            </w:r>
          </w:p>
        </w:tc>
        <w:tc>
          <w:tcPr>
            <w:tcW w:type="dxa" w:w="4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Optional; auto-fills goods type and quantity if selected</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Goods Type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Dropdown (rice, milk, canned goods, hygiene kits, others)</w:t>
            </w:r>
          </w:p>
        </w:tc>
        <w:tc>
          <w:tcPr>
            <w:tcW w:type="dxa" w:w="4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must match a recognized goods category</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Quantity Distributed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Numeric + unit selector (kg, liters, pcs, kits)</w:t>
            </w:r>
          </w:p>
        </w:tc>
        <w:tc>
          <w:tcPr>
            <w:tcW w:type="dxa" w:w="4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 positive number; cannot exceed proposed quantity if linked</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Date of Distribution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Date picker</w:t>
            </w:r>
          </w:p>
        </w:tc>
        <w:tc>
          <w:tcPr>
            <w:tcW w:type="dxa" w:w="4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cannot be a future date</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Responsible Foodbank</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Auto-filled if linked; otherwise text input</w:t>
            </w:r>
          </w:p>
        </w:tc>
        <w:tc>
          <w:tcPr>
            <w:tcW w:type="dxa" w:w="4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w:t>
            </w:r>
          </w:p>
        </w:tc>
      </w:tr>
      <w:tr>
        <w:tc>
          <w:tcPr>
            <w:tcW w:type="dxa" w:w="2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Receiving Barangay Officer</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Text input</w:t>
            </w:r>
          </w:p>
        </w:tc>
        <w:tc>
          <w:tcPr>
            <w:tcW w:type="dxa" w:w="4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name of the Secretary or authorized officer who received</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Text area</w:t>
            </w:r>
          </w:p>
        </w:tc>
        <w:tc>
          <w:tcPr>
            <w:tcW w:type="dxa" w:w="4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Optional; max 500 characters</w:t>
            </w:r>
          </w:p>
        </w:tc>
      </w:tr>
    </w:tbl>
    <w:p>
      <w:pPr>
        <w:spacing w:after="80" w:before="80"/>
      </w:pPr>
      <w:r>
        <w:t xml:space="preserve"/>
      </w:r>
    </w:p>
    <w:p>
      <w:pPr>
        <w:pStyle w:val="Heading3"/>
        <w:spacing w:after="100" w:before="220"/>
      </w:pPr>
      <w:r>
        <w:rPr>
          <w:rFonts w:ascii="Arial" w:cs="Arial" w:eastAsia="Arial" w:hAnsi="Arial"/>
          <w:b/>
          <w:bCs/>
          <w:color w:val="244872"/>
          <w:sz w:val="23"/>
          <w:szCs w:val="23"/>
        </w:rPr>
        <w:t xml:space="preserve">Feature 4: Distribution History View</w:t>
      </w:r>
    </w:p>
    <w:p>
      <w:pPr>
        <w:pStyle w:val="ListParagraph"/>
        <w:numPr>
          <w:ilvl w:val="0"/>
          <w:numId w:val="3"/>
        </w:numPr>
        <w:spacing w:after="60" w:before="40"/>
        <w:ind w:left="720" w:hanging="360"/>
      </w:pPr>
      <w:r>
        <w:rPr>
          <w:rFonts w:ascii="Arial" w:cs="Arial" w:eastAsia="Arial" w:hAnsi="Arial"/>
          <w:sz w:val="22"/>
          <w:szCs w:val="22"/>
        </w:rPr>
        <w:t xml:space="preserve">Chronological list of all completed distributions for the barangay</w:t>
      </w:r>
    </w:p>
    <w:p>
      <w:pPr>
        <w:pStyle w:val="ListParagraph"/>
        <w:numPr>
          <w:ilvl w:val="0"/>
          <w:numId w:val="3"/>
        </w:numPr>
        <w:spacing w:after="60" w:before="40"/>
        <w:ind w:left="720" w:hanging="360"/>
      </w:pPr>
      <w:r>
        <w:rPr>
          <w:rFonts w:ascii="Arial" w:cs="Arial" w:eastAsia="Arial" w:hAnsi="Arial"/>
          <w:sz w:val="22"/>
          <w:szCs w:val="22"/>
        </w:rPr>
        <w:t xml:space="preserve">Columns: Date, Goods Type, Quantity, Foodbank, Status (Logged/Verified)</w:t>
      </w:r>
    </w:p>
    <w:p>
      <w:pPr>
        <w:pStyle w:val="ListParagraph"/>
        <w:numPr>
          <w:ilvl w:val="0"/>
          <w:numId w:val="3"/>
        </w:numPr>
        <w:spacing w:after="60" w:before="40"/>
        <w:ind w:left="720" w:hanging="360"/>
      </w:pPr>
      <w:r>
        <w:rPr>
          <w:rFonts w:ascii="Arial" w:cs="Arial" w:eastAsia="Arial" w:hAnsi="Arial"/>
          <w:sz w:val="22"/>
          <w:szCs w:val="22"/>
        </w:rPr>
        <w:t xml:space="preserve">Each row is expandable to view full log details</w:t>
      </w:r>
    </w:p>
    <w:p>
      <w:pPr>
        <w:pStyle w:val="ListParagraph"/>
        <w:numPr>
          <w:ilvl w:val="0"/>
          <w:numId w:val="3"/>
        </w:numPr>
        <w:spacing w:after="60" w:before="40"/>
        <w:ind w:left="720" w:hanging="360"/>
      </w:pPr>
      <w:r>
        <w:rPr>
          <w:rFonts w:ascii="Arial" w:cs="Arial" w:eastAsia="Arial" w:hAnsi="Arial"/>
          <w:sz w:val="22"/>
          <w:szCs w:val="22"/>
        </w:rPr>
        <w:t xml:space="preserve">Export button: download as CSV (available to Secretary for record-keeping)</w:t>
      </w:r>
    </w:p>
    <w:p>
      <w:pPr>
        <w:spacing w:after="80" w:before="80"/>
      </w:pPr>
      <w:r>
        <w:t xml:space="preserve"/>
      </w:r>
    </w:p>
    <w:p>
      <w:pPr>
        <w:pBdr>
          <w:bottom w:val="single" w:color="BDD7EE" w:sz="4" w:space="1"/>
        </w:pBdr>
        <w:spacing w:after="120" w:before="120"/>
      </w:pPr>
      <w:r>
        <w:t xml:space="preserve"/>
      </w:r>
    </w:p>
    <w:p>
      <w:pPr>
        <w:spacing w:after="120" w:before="280"/>
      </w:pPr>
      <w:r>
        <w:rPr>
          <w:rFonts w:ascii="Arial" w:cs="Arial" w:eastAsia="Arial" w:hAnsi="Arial"/>
          <w:b/>
          <w:bCs/>
          <w:color w:val="1F4E79"/>
          <w:sz w:val="30"/>
          <w:szCs w:val="30"/>
        </w:rPr>
        <w:t xml:space="preserve">ROLE 2  </w:t>
      </w:r>
      <w:r>
        <w:rPr>
          <w:rFonts w:ascii="Arial" w:cs="Arial" w:eastAsia="Arial" w:hAnsi="Arial"/>
          <w:b/>
          <w:bCs/>
          <w:color w:val="2E75B6"/>
          <w:sz w:val="30"/>
          <w:szCs w:val="30"/>
        </w:rPr>
        <w:t xml:space="preserve">Foodbank Representative</w:t>
      </w:r>
    </w:p>
    <w:p>
      <w:pPr>
        <w:pStyle w:val="Heading2"/>
        <w:spacing w:after="140" w:before="280"/>
      </w:pPr>
      <w:r>
        <w:rPr>
          <w:rFonts w:ascii="Arial" w:cs="Arial" w:eastAsia="Arial" w:hAnsi="Arial"/>
          <w:b/>
          <w:bCs/>
          <w:color w:val="2E75B6"/>
          <w:sz w:val="26"/>
          <w:szCs w:val="26"/>
        </w:rPr>
        <w:t xml:space="preserve">1.5  Screens &amp; Pages — Foodbank Representative</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rPr>
          <w:tblHeader/>
        </w:trPr>
        <w:tc>
          <w:tcPr>
            <w:tcW w:type="dxa" w:w="24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Screen / Page</w:t>
            </w:r>
          </w:p>
        </w:tc>
        <w:tc>
          <w:tcPr>
            <w:tcW w:type="dxa" w:w="28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Purpose</w:t>
            </w:r>
          </w:p>
        </w:tc>
        <w:tc>
          <w:tcPr>
            <w:tcW w:type="dxa" w:w="31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Access Trigger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Login Page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Authenticate Foodbank Representative</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Direct URL / app launch</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Foodbank Dashboard</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Overview: inventory summary, active proposals, map shortcut, distribution stats</w:t>
            </w:r>
          </w:p>
        </w:tc>
        <w:tc>
          <w:tcPr>
            <w:tcW w:type="dxa" w:w="31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Post-login landing</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Inventory Management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Add, edit, and track goods type and available quantities</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Dashboard → 'Inventory'</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Interactive Barangay Map</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Browse all barangays with demographic overlays and filter tools</w:t>
            </w:r>
          </w:p>
        </w:tc>
        <w:tc>
          <w:tcPr>
            <w:tcW w:type="dxa" w:w="31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Dashboard → 'Map View'</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Barangay Profile Popup</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Expanded view of a single barangay's demographics and history</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Click on map pin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Propose Distribution</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Submit a new distribution schedule to a selected barangay</w:t>
            </w:r>
          </w:p>
        </w:tc>
        <w:tc>
          <w:tcPr>
            <w:tcW w:type="dxa" w:w="31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From Barangay Profile Popup or Dashboard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Active Proposals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Track status of all submitted proposals</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Dashboard → 'Proposals'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Distribution History / Reports</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View all completed distributions; summary statistics</w:t>
            </w:r>
          </w:p>
        </w:tc>
        <w:tc>
          <w:tcPr>
            <w:tcW w:type="dxa" w:w="31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Dashboard → 'Reports'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Account Settings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Manage profile, password, and organization details</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Top-right menu</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1.6  Step-by-Step User Flow — Foodbank Representative</w:t>
      </w:r>
    </w:p>
    <w:p>
      <w:pPr>
        <w:pStyle w:val="Heading3"/>
        <w:spacing w:after="100" w:before="220"/>
      </w:pPr>
      <w:r>
        <w:rPr>
          <w:rFonts w:ascii="Arial" w:cs="Arial" w:eastAsia="Arial" w:hAnsi="Arial"/>
          <w:b/>
          <w:bCs/>
          <w:color w:val="244872"/>
          <w:sz w:val="23"/>
          <w:szCs w:val="23"/>
        </w:rPr>
        <w:t xml:space="preserve">Flow A: Login and Dashboard Access</w:t>
      </w:r>
    </w:p>
    <w:p>
      <w:pPr>
        <w:pStyle w:val="ListParagraph"/>
        <w:numPr>
          <w:ilvl w:val="0"/>
          <w:numId w:val="2"/>
        </w:numPr>
        <w:spacing w:after="60" w:before="40"/>
        <w:ind w:left="720" w:hanging="360"/>
      </w:pPr>
      <w:r>
        <w:rPr>
          <w:rFonts w:ascii="Arial" w:cs="Arial" w:eastAsia="Arial" w:hAnsi="Arial"/>
          <w:sz w:val="22"/>
          <w:szCs w:val="22"/>
        </w:rPr>
        <w:t xml:space="preserve">Foodbank Rep navigates to the ANGAY login page.</w:t>
      </w:r>
    </w:p>
    <w:p>
      <w:pPr>
        <w:pStyle w:val="ListParagraph"/>
        <w:numPr>
          <w:ilvl w:val="0"/>
          <w:numId w:val="2"/>
        </w:numPr>
        <w:spacing w:after="60" w:before="40"/>
        <w:ind w:left="720" w:hanging="360"/>
      </w:pPr>
      <w:r>
        <w:rPr>
          <w:rFonts w:ascii="Arial" w:cs="Arial" w:eastAsia="Arial" w:hAnsi="Arial"/>
          <w:sz w:val="22"/>
          <w:szCs w:val="22"/>
        </w:rPr>
        <w:t xml:space="preserve">Enters assigned username (organization code) and password.</w:t>
      </w:r>
    </w:p>
    <w:p>
      <w:pPr>
        <w:pStyle w:val="ListParagraph"/>
        <w:numPr>
          <w:ilvl w:val="0"/>
          <w:numId w:val="2"/>
        </w:numPr>
        <w:spacing w:after="60" w:before="40"/>
        <w:ind w:left="720" w:hanging="360"/>
      </w:pPr>
      <w:r>
        <w:rPr>
          <w:rFonts w:ascii="Arial" w:cs="Arial" w:eastAsia="Arial" w:hAnsi="Arial"/>
          <w:sz w:val="22"/>
          <w:szCs w:val="22"/>
        </w:rPr>
        <w:t xml:space="preserve">System validates credentials.</w:t>
      </w:r>
    </w:p>
    <w:p>
      <w:pPr>
        <w:pStyle w:val="ListParagraph"/>
        <w:numPr>
          <w:ilvl w:val="0"/>
          <w:numId w:val="2"/>
        </w:numPr>
        <w:spacing w:after="60" w:before="40"/>
        <w:ind w:left="720" w:hanging="360"/>
      </w:pPr>
      <w:r>
        <w:rPr>
          <w:rFonts w:ascii="Arial" w:cs="Arial" w:eastAsia="Arial" w:hAnsi="Arial"/>
          <w:sz w:val="22"/>
          <w:szCs w:val="22"/>
        </w:rPr>
        <w:t xml:space="preserve">On success: redirected to Foodbank Dashboard.</w:t>
      </w:r>
    </w:p>
    <w:p>
      <w:pPr>
        <w:pStyle w:val="ListParagraph"/>
        <w:numPr>
          <w:ilvl w:val="0"/>
          <w:numId w:val="2"/>
        </w:numPr>
        <w:spacing w:after="60" w:before="40"/>
        <w:ind w:left="720" w:hanging="360"/>
      </w:pPr>
      <w:r>
        <w:rPr>
          <w:rFonts w:ascii="Arial" w:cs="Arial" w:eastAsia="Arial" w:hAnsi="Arial"/>
          <w:sz w:val="22"/>
          <w:szCs w:val="22"/>
        </w:rPr>
        <w:t xml:space="preserve">Dashboard displays: current inventory summary, count of pending/confirmed proposals, a quick-link to the map, and recent distribution statistics.</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Flow B: Inventory Management</w:t>
      </w:r>
    </w:p>
    <w:p>
      <w:pPr>
        <w:pStyle w:val="ListParagraph"/>
        <w:numPr>
          <w:ilvl w:val="0"/>
          <w:numId w:val="2"/>
        </w:numPr>
        <w:spacing w:after="60" w:before="40"/>
        <w:ind w:left="720" w:hanging="360"/>
      </w:pPr>
      <w:r>
        <w:rPr>
          <w:rFonts w:ascii="Arial" w:cs="Arial" w:eastAsia="Arial" w:hAnsi="Arial"/>
          <w:sz w:val="22"/>
          <w:szCs w:val="22"/>
        </w:rPr>
        <w:t xml:space="preserve">Rep navigates to 'Inventory' from the dashboard.</w:t>
      </w:r>
    </w:p>
    <w:p>
      <w:pPr>
        <w:pStyle w:val="ListParagraph"/>
        <w:numPr>
          <w:ilvl w:val="0"/>
          <w:numId w:val="2"/>
        </w:numPr>
        <w:spacing w:after="60" w:before="40"/>
        <w:ind w:left="720" w:hanging="360"/>
      </w:pPr>
      <w:r>
        <w:rPr>
          <w:rFonts w:ascii="Arial" w:cs="Arial" w:eastAsia="Arial" w:hAnsi="Arial"/>
          <w:sz w:val="22"/>
          <w:szCs w:val="22"/>
        </w:rPr>
        <w:t xml:space="preserve">Inventory list is displayed, grouped by goods type with available quantity and last-updated date.</w:t>
      </w:r>
    </w:p>
    <w:p>
      <w:pPr>
        <w:pStyle w:val="ListParagraph"/>
        <w:numPr>
          <w:ilvl w:val="0"/>
          <w:numId w:val="2"/>
        </w:numPr>
        <w:spacing w:after="60" w:before="40"/>
        <w:ind w:left="720" w:hanging="360"/>
      </w:pPr>
      <w:r>
        <w:rPr>
          <w:rFonts w:ascii="Arial" w:cs="Arial" w:eastAsia="Arial" w:hAnsi="Arial"/>
          <w:sz w:val="22"/>
          <w:szCs w:val="22"/>
        </w:rPr>
        <w:t xml:space="preserve">To add inventory: Rep clicks 'Add Goods', fills in the Goods Entry Form, and saves.</w:t>
      </w:r>
    </w:p>
    <w:p>
      <w:pPr>
        <w:pStyle w:val="ListParagraph"/>
        <w:numPr>
          <w:ilvl w:val="0"/>
          <w:numId w:val="2"/>
        </w:numPr>
        <w:spacing w:after="60" w:before="40"/>
        <w:ind w:left="720" w:hanging="360"/>
      </w:pPr>
      <w:r>
        <w:rPr>
          <w:rFonts w:ascii="Arial" w:cs="Arial" w:eastAsia="Arial" w:hAnsi="Arial"/>
          <w:sz w:val="22"/>
          <w:szCs w:val="22"/>
        </w:rPr>
        <w:t xml:space="preserve">To update quantity: Rep selects an item and edits the available quantity.</w:t>
      </w:r>
    </w:p>
    <w:p>
      <w:pPr>
        <w:pStyle w:val="ListParagraph"/>
        <w:numPr>
          <w:ilvl w:val="0"/>
          <w:numId w:val="2"/>
        </w:numPr>
        <w:spacing w:after="60" w:before="40"/>
        <w:ind w:left="720" w:hanging="360"/>
      </w:pPr>
      <w:r>
        <w:rPr>
          <w:rFonts w:ascii="Arial" w:cs="Arial" w:eastAsia="Arial" w:hAnsi="Arial"/>
          <w:sz w:val="22"/>
          <w:szCs w:val="22"/>
        </w:rPr>
        <w:t xml:space="preserve">System records the change with a timestamp.</w:t>
      </w:r>
    </w:p>
    <w:p>
      <w:pPr>
        <w:pStyle w:val="ListParagraph"/>
        <w:numPr>
          <w:ilvl w:val="0"/>
          <w:numId w:val="2"/>
        </w:numPr>
        <w:spacing w:after="60" w:before="40"/>
        <w:ind w:left="720" w:hanging="360"/>
      </w:pPr>
      <w:r>
        <w:rPr>
          <w:rFonts w:ascii="Arial" w:cs="Arial" w:eastAsia="Arial" w:hAnsi="Arial"/>
          <w:sz w:val="22"/>
          <w:szCs w:val="22"/>
        </w:rPr>
        <w:t xml:space="preserve">Low-stock threshold: if a goods type drops to zero, it is flagged in the dashboard with a warning indicator.</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Flow C: Exploring the Interactive Barangay Map</w:t>
      </w:r>
    </w:p>
    <w:p>
      <w:pPr>
        <w:pStyle w:val="ListParagraph"/>
        <w:numPr>
          <w:ilvl w:val="0"/>
          <w:numId w:val="2"/>
        </w:numPr>
        <w:spacing w:after="60" w:before="40"/>
        <w:ind w:left="720" w:hanging="360"/>
      </w:pPr>
      <w:r>
        <w:rPr>
          <w:rFonts w:ascii="Arial" w:cs="Arial" w:eastAsia="Arial" w:hAnsi="Arial"/>
          <w:sz w:val="22"/>
          <w:szCs w:val="22"/>
        </w:rPr>
        <w:t xml:space="preserve">Rep navigates to 'Map View'.</w:t>
      </w:r>
    </w:p>
    <w:p>
      <w:pPr>
        <w:pStyle w:val="ListParagraph"/>
        <w:numPr>
          <w:ilvl w:val="0"/>
          <w:numId w:val="2"/>
        </w:numPr>
        <w:spacing w:after="60" w:before="40"/>
        <w:ind w:left="720" w:hanging="360"/>
      </w:pPr>
      <w:r>
        <w:rPr>
          <w:rFonts w:ascii="Arial" w:cs="Arial" w:eastAsia="Arial" w:hAnsi="Arial"/>
          <w:sz w:val="22"/>
          <w:szCs w:val="22"/>
        </w:rPr>
        <w:t xml:space="preserve">Interactive map loads with all registered barangay pins visible.</w:t>
      </w:r>
    </w:p>
    <w:p>
      <w:pPr>
        <w:pStyle w:val="ListParagraph"/>
        <w:numPr>
          <w:ilvl w:val="0"/>
          <w:numId w:val="2"/>
        </w:numPr>
        <w:spacing w:after="60" w:before="40"/>
        <w:ind w:left="720" w:hanging="360"/>
      </w:pPr>
      <w:r>
        <w:rPr>
          <w:rFonts w:ascii="Arial" w:cs="Arial" w:eastAsia="Arial" w:hAnsi="Arial"/>
          <w:sz w:val="22"/>
          <w:szCs w:val="22"/>
        </w:rPr>
        <w:t xml:space="preserve">Rep optionally applies one or more filter/sort options from the filter panel (see Feature Detail).</w:t>
      </w:r>
    </w:p>
    <w:p>
      <w:pPr>
        <w:pStyle w:val="ListParagraph"/>
        <w:numPr>
          <w:ilvl w:val="0"/>
          <w:numId w:val="2"/>
        </w:numPr>
        <w:spacing w:after="60" w:before="40"/>
        <w:ind w:left="720" w:hanging="360"/>
      </w:pPr>
      <w:r>
        <w:rPr>
          <w:rFonts w:ascii="Arial" w:cs="Arial" w:eastAsia="Arial" w:hAnsi="Arial"/>
          <w:sz w:val="22"/>
          <w:szCs w:val="22"/>
        </w:rPr>
        <w:t xml:space="preserve">Map re-renders: pin sizes or colors update to reflect the active filter (e.g., barangays with highest child density shown with distinct pin color).</w:t>
      </w:r>
    </w:p>
    <w:p>
      <w:pPr>
        <w:pStyle w:val="ListParagraph"/>
        <w:numPr>
          <w:ilvl w:val="0"/>
          <w:numId w:val="2"/>
        </w:numPr>
        <w:spacing w:after="60" w:before="40"/>
        <w:ind w:left="720" w:hanging="360"/>
      </w:pPr>
      <w:r>
        <w:rPr>
          <w:rFonts w:ascii="Arial" w:cs="Arial" w:eastAsia="Arial" w:hAnsi="Arial"/>
          <w:sz w:val="22"/>
          <w:szCs w:val="22"/>
        </w:rPr>
        <w:t xml:space="preserve">Rep clicks on a barangay pin of interest.</w:t>
      </w:r>
    </w:p>
    <w:p>
      <w:pPr>
        <w:pStyle w:val="ListParagraph"/>
        <w:numPr>
          <w:ilvl w:val="0"/>
          <w:numId w:val="2"/>
        </w:numPr>
        <w:spacing w:after="60" w:before="40"/>
        <w:ind w:left="720" w:hanging="360"/>
      </w:pPr>
      <w:r>
        <w:rPr>
          <w:rFonts w:ascii="Arial" w:cs="Arial" w:eastAsia="Arial" w:hAnsi="Arial"/>
          <w:sz w:val="22"/>
          <w:szCs w:val="22"/>
        </w:rPr>
        <w:t xml:space="preserve">A popup/side panel opens showing: barangay name, demographic breakdown summary, poverty classification, last update date, and distribution history summary.</w:t>
      </w:r>
    </w:p>
    <w:p>
      <w:pPr>
        <w:pStyle w:val="ListParagraph"/>
        <w:numPr>
          <w:ilvl w:val="0"/>
          <w:numId w:val="2"/>
        </w:numPr>
        <w:spacing w:after="60" w:before="40"/>
        <w:ind w:left="720" w:hanging="360"/>
      </w:pPr>
      <w:r>
        <w:rPr>
          <w:rFonts w:ascii="Arial" w:cs="Arial" w:eastAsia="Arial" w:hAnsi="Arial"/>
          <w:sz w:val="22"/>
          <w:szCs w:val="22"/>
        </w:rPr>
        <w:t xml:space="preserve">Rep reviews the information to assess need and alignment with available inventory.</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Flow D: Proposing a Distribution</w:t>
      </w:r>
    </w:p>
    <w:p>
      <w:pPr>
        <w:pStyle w:val="ListParagraph"/>
        <w:numPr>
          <w:ilvl w:val="0"/>
          <w:numId w:val="2"/>
        </w:numPr>
        <w:spacing w:after="60" w:before="40"/>
        <w:ind w:left="720" w:hanging="360"/>
      </w:pPr>
      <w:r>
        <w:rPr>
          <w:rFonts w:ascii="Arial" w:cs="Arial" w:eastAsia="Arial" w:hAnsi="Arial"/>
          <w:sz w:val="22"/>
          <w:szCs w:val="22"/>
        </w:rPr>
        <w:t xml:space="preserve">From the Barangay Profile Popup or the 'Propose Distribution' button, Rep opens the proposal form.</w:t>
      </w:r>
    </w:p>
    <w:p>
      <w:pPr>
        <w:pStyle w:val="ListParagraph"/>
        <w:numPr>
          <w:ilvl w:val="0"/>
          <w:numId w:val="2"/>
        </w:numPr>
        <w:spacing w:after="60" w:before="40"/>
        <w:ind w:left="720" w:hanging="360"/>
      </w:pPr>
      <w:r>
        <w:rPr>
          <w:rFonts w:ascii="Arial" w:cs="Arial" w:eastAsia="Arial" w:hAnsi="Arial"/>
          <w:sz w:val="22"/>
          <w:szCs w:val="22"/>
        </w:rPr>
        <w:t xml:space="preserve">Barangay name is pre-filled.</w:t>
      </w:r>
    </w:p>
    <w:p>
      <w:pPr>
        <w:pStyle w:val="ListParagraph"/>
        <w:numPr>
          <w:ilvl w:val="0"/>
          <w:numId w:val="2"/>
        </w:numPr>
        <w:spacing w:after="60" w:before="40"/>
        <w:ind w:left="720" w:hanging="360"/>
      </w:pPr>
      <w:r>
        <w:rPr>
          <w:rFonts w:ascii="Arial" w:cs="Arial" w:eastAsia="Arial" w:hAnsi="Arial"/>
          <w:sz w:val="22"/>
          <w:szCs w:val="22"/>
        </w:rPr>
        <w:t xml:space="preserve">Rep fills in the proposal details (see Feature Detail).</w:t>
      </w:r>
    </w:p>
    <w:p>
      <w:pPr>
        <w:pStyle w:val="ListParagraph"/>
        <w:numPr>
          <w:ilvl w:val="0"/>
          <w:numId w:val="2"/>
        </w:numPr>
        <w:spacing w:after="60" w:before="40"/>
        <w:ind w:left="720" w:hanging="360"/>
      </w:pPr>
      <w:r>
        <w:rPr>
          <w:rFonts w:ascii="Arial" w:cs="Arial" w:eastAsia="Arial" w:hAnsi="Arial"/>
          <w:sz w:val="22"/>
          <w:szCs w:val="22"/>
        </w:rPr>
        <w:t xml:space="preserve">System checks that the proposed quantity does not exceed available inventory (non-blocking warning only — no hard reservation).</w:t>
      </w:r>
    </w:p>
    <w:p>
      <w:pPr>
        <w:pStyle w:val="ListParagraph"/>
        <w:numPr>
          <w:ilvl w:val="0"/>
          <w:numId w:val="2"/>
        </w:numPr>
        <w:spacing w:after="60" w:before="40"/>
        <w:ind w:left="720" w:hanging="360"/>
      </w:pPr>
      <w:r>
        <w:rPr>
          <w:rFonts w:ascii="Arial" w:cs="Arial" w:eastAsia="Arial" w:hAnsi="Arial"/>
          <w:sz w:val="22"/>
          <w:szCs w:val="22"/>
        </w:rPr>
        <w:t xml:space="preserve">Rep clicks 'Submit Proposal'.</w:t>
      </w:r>
    </w:p>
    <w:p>
      <w:pPr>
        <w:pStyle w:val="ListParagraph"/>
        <w:numPr>
          <w:ilvl w:val="0"/>
          <w:numId w:val="2"/>
        </w:numPr>
        <w:spacing w:after="60" w:before="40"/>
        <w:ind w:left="720" w:hanging="360"/>
      </w:pPr>
      <w:r>
        <w:rPr>
          <w:rFonts w:ascii="Arial" w:cs="Arial" w:eastAsia="Arial" w:hAnsi="Arial"/>
          <w:sz w:val="22"/>
          <w:szCs w:val="22"/>
        </w:rPr>
        <w:t xml:space="preserve">System saves the proposal in Pending status, sends a notification to the corresponding Barangay Secretary, and records the submission timestamp.</w:t>
      </w:r>
    </w:p>
    <w:p>
      <w:pPr>
        <w:pStyle w:val="ListParagraph"/>
        <w:numPr>
          <w:ilvl w:val="0"/>
          <w:numId w:val="2"/>
        </w:numPr>
        <w:spacing w:after="60" w:before="40"/>
        <w:ind w:left="720" w:hanging="360"/>
      </w:pPr>
      <w:r>
        <w:rPr>
          <w:rFonts w:ascii="Arial" w:cs="Arial" w:eastAsia="Arial" w:hAnsi="Arial"/>
          <w:sz w:val="22"/>
          <w:szCs w:val="22"/>
        </w:rPr>
        <w:t xml:space="preserve">The proposal appears in Rep's Active Proposals list with status 'Pending Confirmation'.</w:t>
      </w:r>
    </w:p>
    <w:p>
      <w:pPr>
        <w:pStyle w:val="ListParagraph"/>
        <w:numPr>
          <w:ilvl w:val="0"/>
          <w:numId w:val="2"/>
        </w:numPr>
        <w:spacing w:after="60" w:before="40"/>
        <w:ind w:left="720" w:hanging="360"/>
      </w:pPr>
      <w:r>
        <w:rPr>
          <w:rFonts w:ascii="Arial" w:cs="Arial" w:eastAsia="Arial" w:hAnsi="Arial"/>
          <w:sz w:val="22"/>
          <w:szCs w:val="22"/>
        </w:rPr>
        <w:t xml:space="preserve">When the Secretary acts, status updates to 'Confirmed' or 'Declined', and the Rep is notified.</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Flow E: Reviewing Reports and Distribution History</w:t>
      </w:r>
    </w:p>
    <w:p>
      <w:pPr>
        <w:pStyle w:val="ListParagraph"/>
        <w:numPr>
          <w:ilvl w:val="0"/>
          <w:numId w:val="2"/>
        </w:numPr>
        <w:spacing w:after="60" w:before="40"/>
        <w:ind w:left="720" w:hanging="360"/>
      </w:pPr>
      <w:r>
        <w:rPr>
          <w:rFonts w:ascii="Arial" w:cs="Arial" w:eastAsia="Arial" w:hAnsi="Arial"/>
          <w:sz w:val="22"/>
          <w:szCs w:val="22"/>
        </w:rPr>
        <w:t xml:space="preserve">Rep navigates to 'Reports' from the dashboard.</w:t>
      </w:r>
    </w:p>
    <w:p>
      <w:pPr>
        <w:pStyle w:val="ListParagraph"/>
        <w:numPr>
          <w:ilvl w:val="0"/>
          <w:numId w:val="2"/>
        </w:numPr>
        <w:spacing w:after="60" w:before="40"/>
        <w:ind w:left="720" w:hanging="360"/>
      </w:pPr>
      <w:r>
        <w:rPr>
          <w:rFonts w:ascii="Arial" w:cs="Arial" w:eastAsia="Arial" w:hAnsi="Arial"/>
          <w:sz w:val="22"/>
          <w:szCs w:val="22"/>
        </w:rPr>
        <w:t xml:space="preserve">Filters available: by barangay, by goods type, by date range.</w:t>
      </w:r>
    </w:p>
    <w:p>
      <w:pPr>
        <w:pStyle w:val="ListParagraph"/>
        <w:numPr>
          <w:ilvl w:val="0"/>
          <w:numId w:val="2"/>
        </w:numPr>
        <w:spacing w:after="60" w:before="40"/>
        <w:ind w:left="720" w:hanging="360"/>
      </w:pPr>
      <w:r>
        <w:rPr>
          <w:rFonts w:ascii="Arial" w:cs="Arial" w:eastAsia="Arial" w:hAnsi="Arial"/>
          <w:sz w:val="22"/>
          <w:szCs w:val="22"/>
        </w:rPr>
        <w:t xml:space="preserve">Summary statistics panel shows: total goods distributed (by type), number of unique barangays served, average frequency per barangay, and most/least recently served barangays.</w:t>
      </w:r>
    </w:p>
    <w:p>
      <w:pPr>
        <w:pStyle w:val="ListParagraph"/>
        <w:numPr>
          <w:ilvl w:val="0"/>
          <w:numId w:val="2"/>
        </w:numPr>
        <w:spacing w:after="60" w:before="40"/>
        <w:ind w:left="720" w:hanging="360"/>
      </w:pPr>
      <w:r>
        <w:rPr>
          <w:rFonts w:ascii="Arial" w:cs="Arial" w:eastAsia="Arial" w:hAnsi="Arial"/>
          <w:sz w:val="22"/>
          <w:szCs w:val="22"/>
        </w:rPr>
        <w:t xml:space="preserve">Detail table shows all confirmed-and-logged distributions.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1.7  Feature Details — Foodbank Representative</w:t>
      </w:r>
    </w:p>
    <w:p>
      <w:pPr>
        <w:pStyle w:val="Heading3"/>
        <w:spacing w:after="100" w:before="220"/>
      </w:pPr>
      <w:r>
        <w:rPr>
          <w:rFonts w:ascii="Arial" w:cs="Arial" w:eastAsia="Arial" w:hAnsi="Arial"/>
          <w:b/>
          <w:bCs/>
          <w:color w:val="244872"/>
          <w:sz w:val="23"/>
          <w:szCs w:val="23"/>
        </w:rPr>
        <w:t xml:space="preserve">Feature 1: Inventory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Field</w:t>
            </w:r>
          </w:p>
        </w:tc>
        <w:tc>
          <w:tcPr>
            <w:tcW w:type="dxa" w:w="32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Type</w:t>
            </w:r>
          </w:p>
        </w:tc>
        <w:tc>
          <w:tcPr>
            <w:tcW w:type="dxa" w:w="39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Rules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Goods Type</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Dropdown (rice, milk, canned goods, hygiene kits, baby formula, others)</w:t>
            </w:r>
          </w:p>
        </w:tc>
        <w:tc>
          <w:tcPr>
            <w:tcW w:type="dxa" w:w="3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Available Quantity</w:t>
            </w:r>
          </w:p>
        </w:tc>
        <w:tc>
          <w:tcPr>
            <w:tcW w:type="dxa" w:w="3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Numeric + unit (kg, liters, pcs, kits)</w:t>
            </w:r>
          </w:p>
        </w:tc>
        <w:tc>
          <w:tcPr>
            <w:tcW w:type="dxa" w:w="39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must be ≥ 0</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Last Updated</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Auto-generated timestamp</w:t>
            </w:r>
          </w:p>
        </w:tc>
        <w:tc>
          <w:tcPr>
            <w:tcW w:type="dxa" w:w="3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Set on each save</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Notes</w:t>
            </w:r>
          </w:p>
        </w:tc>
        <w:tc>
          <w:tcPr>
            <w:tcW w:type="dxa" w:w="3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Text area (optional)</w:t>
            </w:r>
          </w:p>
        </w:tc>
        <w:tc>
          <w:tcPr>
            <w:tcW w:type="dxa" w:w="39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Max 300 characters; e.g., expiration info, sourcing notes</w:t>
            </w:r>
          </w:p>
        </w:tc>
      </w:tr>
    </w:tbl>
    <w:p>
      <w:pPr>
        <w:spacing w:after="80" w:before="80"/>
      </w:pPr>
      <w:r>
        <w:t xml:space="preserve"/>
      </w:r>
    </w:p>
    <w:p>
      <w:pPr>
        <w:spacing w:after="100" w:before="80"/>
      </w:pPr>
      <w:r>
        <w:rPr>
          <w:rFonts w:ascii="Arial" w:cs="Arial" w:eastAsia="Arial" w:hAnsi="Arial"/>
          <w:b/>
          <w:bCs/>
          <w:sz w:val="22"/>
          <w:szCs w:val="22"/>
        </w:rPr>
        <w:t xml:space="preserve">UI considerations: </w:t>
      </w:r>
      <w:r>
        <w:rPr>
          <w:rFonts w:ascii="Arial" w:cs="Arial" w:eastAsia="Arial" w:hAnsi="Arial"/>
          <w:sz w:val="22"/>
          <w:szCs w:val="22"/>
        </w:rPr>
        <w:t xml:space="preserve">Color-coded stock levels (green = sufficient, yellow = low, red = depleted). Inventory changes are logged with timestamps for internal auditing.</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Feature 2: Interactive Barangay Map</w:t>
      </w:r>
    </w:p>
    <w:p>
      <w:pPr>
        <w:spacing w:after="80" w:before="160"/>
      </w:pPr>
      <w:r>
        <w:rPr>
          <w:rFonts w:ascii="Arial" w:cs="Arial" w:eastAsia="Arial" w:hAnsi="Arial"/>
          <w:b/>
          <w:bCs/>
          <w:color w:val="2E4057"/>
          <w:sz w:val="22"/>
          <w:szCs w:val="22"/>
        </w:rPr>
        <w:t xml:space="preserve">Map Display</w:t>
      </w:r>
    </w:p>
    <w:p>
      <w:pPr>
        <w:pStyle w:val="ListParagraph"/>
        <w:numPr>
          <w:ilvl w:val="0"/>
          <w:numId w:val="3"/>
        </w:numPr>
        <w:spacing w:after="60" w:before="40"/>
        <w:ind w:left="720" w:hanging="360"/>
      </w:pPr>
      <w:r>
        <w:rPr>
          <w:rFonts w:ascii="Arial" w:cs="Arial" w:eastAsia="Arial" w:hAnsi="Arial"/>
          <w:sz w:val="22"/>
          <w:szCs w:val="22"/>
        </w:rPr>
        <w:t xml:space="preserve">All registered barangays rendered as interactive pins on a web map</w:t>
      </w:r>
    </w:p>
    <w:p>
      <w:pPr>
        <w:pStyle w:val="ListParagraph"/>
        <w:numPr>
          <w:ilvl w:val="0"/>
          <w:numId w:val="3"/>
        </w:numPr>
        <w:spacing w:after="60" w:before="40"/>
        <w:ind w:left="720" w:hanging="360"/>
      </w:pPr>
      <w:r>
        <w:rPr>
          <w:rFonts w:ascii="Arial" w:cs="Arial" w:eastAsia="Arial" w:hAnsi="Arial"/>
          <w:sz w:val="22"/>
          <w:szCs w:val="22"/>
        </w:rPr>
        <w:t xml:space="preserve">Pins display barangay name on hover</w:t>
      </w:r>
    </w:p>
    <w:p>
      <w:pPr>
        <w:pStyle w:val="ListParagraph"/>
        <w:numPr>
          <w:ilvl w:val="0"/>
          <w:numId w:val="3"/>
        </w:numPr>
        <w:spacing w:after="60" w:before="40"/>
        <w:ind w:left="720" w:hanging="360"/>
      </w:pPr>
      <w:r>
        <w:rPr>
          <w:rFonts w:ascii="Arial" w:cs="Arial" w:eastAsia="Arial" w:hAnsi="Arial"/>
          <w:sz w:val="22"/>
          <w:szCs w:val="22"/>
        </w:rPr>
        <w:t xml:space="preserve">Pin appearance (size or color) updates dynamically based on active filter</w:t>
      </w:r>
    </w:p>
    <w:p>
      <w:pPr>
        <w:spacing w:after="80" w:before="80"/>
      </w:pPr>
      <w:r>
        <w:t xml:space="preserve"/>
      </w:r>
    </w:p>
    <w:p>
      <w:pPr>
        <w:spacing w:after="80" w:before="160"/>
      </w:pPr>
      <w:r>
        <w:rPr>
          <w:rFonts w:ascii="Arial" w:cs="Arial" w:eastAsia="Arial" w:hAnsi="Arial"/>
          <w:b/>
          <w:bCs/>
          <w:color w:val="2E4057"/>
          <w:sz w:val="22"/>
          <w:szCs w:val="22"/>
        </w:rPr>
        <w:t xml:space="preserve">Filter &amp; Sort Options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Filter Option</w:t>
            </w:r>
          </w:p>
        </w:tc>
        <w:tc>
          <w:tcPr>
            <w:tcW w:type="dxa" w:w="34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Description</w:t>
            </w:r>
          </w:p>
        </w:tc>
        <w:tc>
          <w:tcPr>
            <w:tcW w:type="dxa" w:w="37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Visual Indicator</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Highest Child Population</w:t>
            </w:r>
          </w:p>
        </w:tc>
        <w:tc>
          <w:tcPr>
            <w:tcW w:type="dxa" w:w="3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Sorts/highlights barangays by number of children (0–14) in descending order</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Pin color: orange gradient</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Highest Senior Density</w:t>
            </w:r>
          </w:p>
        </w:tc>
        <w:tc>
          <w:tcPr>
            <w:tcW w:type="dxa" w:w="3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Sorts/highlights barangays by senior citizen density (seniors per 100 residents)</w:t>
            </w:r>
          </w:p>
        </w:tc>
        <w:tc>
          <w:tcPr>
            <w:tcW w:type="dxa" w:w="3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Pin color: purple gradient</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Highest Poverty Classification</w:t>
            </w:r>
          </w:p>
        </w:tc>
        <w:tc>
          <w:tcPr>
            <w:tcW w:type="dxa" w:w="3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Highlights barangays with the highest poverty classification levels (Levels 4–5)</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Pin color: red gradient</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Least Recently Served</w:t>
            </w:r>
          </w:p>
        </w:tc>
        <w:tc>
          <w:tcPr>
            <w:tcW w:type="dxa" w:w="3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Sorts by recency of last completed distribution; oldest-served appear most prominently</w:t>
            </w:r>
          </w:p>
        </w:tc>
        <w:tc>
          <w:tcPr>
            <w:tcW w:type="dxa" w:w="37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Pin color: gray → shows days since last distribution on hover</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Combined Filter</w:t>
            </w:r>
          </w:p>
        </w:tc>
        <w:tc>
          <w:tcPr>
            <w:tcW w:type="dxa" w:w="3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 may combine two filters (e.g., High poverty + Least recently served)</w:t>
            </w:r>
          </w:p>
        </w:tc>
        <w:tc>
          <w:tcPr>
            <w:tcW w:type="dxa" w:w="3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Multiple filter badges shown in UI</w:t>
            </w:r>
          </w:p>
        </w:tc>
      </w:tr>
    </w:tbl>
    <w:p>
      <w:pPr>
        <w:spacing w:after="80" w:before="80"/>
      </w:pPr>
      <w:r>
        <w:t xml:space="preserve"/>
      </w:r>
    </w:p>
    <w:p>
      <w:pPr>
        <w:spacing w:after="80" w:before="160"/>
      </w:pPr>
      <w:r>
        <w:rPr>
          <w:rFonts w:ascii="Arial" w:cs="Arial" w:eastAsia="Arial" w:hAnsi="Arial"/>
          <w:b/>
          <w:bCs/>
          <w:color w:val="2E4057"/>
          <w:sz w:val="22"/>
          <w:szCs w:val="22"/>
        </w:rPr>
        <w:t xml:space="preserve">Barangay Pin Popup / Side Panel — Fields Displayed</w:t>
      </w:r>
    </w:p>
    <w:p>
      <w:pPr>
        <w:pStyle w:val="ListParagraph"/>
        <w:numPr>
          <w:ilvl w:val="0"/>
          <w:numId w:val="3"/>
        </w:numPr>
        <w:spacing w:after="60" w:before="40"/>
        <w:ind w:left="720" w:hanging="360"/>
      </w:pPr>
      <w:r>
        <w:rPr>
          <w:rFonts w:ascii="Arial" w:cs="Arial" w:eastAsia="Arial" w:hAnsi="Arial"/>
          <w:sz w:val="22"/>
          <w:szCs w:val="22"/>
        </w:rPr>
        <w:t xml:space="preserve">Barangay name and classification</w:t>
      </w:r>
    </w:p>
    <w:p>
      <w:pPr>
        <w:pStyle w:val="ListParagraph"/>
        <w:numPr>
          <w:ilvl w:val="0"/>
          <w:numId w:val="3"/>
        </w:numPr>
        <w:spacing w:after="60" w:before="40"/>
        <w:ind w:left="720" w:hanging="360"/>
      </w:pPr>
      <w:r>
        <w:rPr>
          <w:rFonts w:ascii="Arial" w:cs="Arial" w:eastAsia="Arial" w:hAnsi="Arial"/>
          <w:sz w:val="22"/>
          <w:szCs w:val="22"/>
        </w:rPr>
        <w:t xml:space="preserve">Poverty level (Level 1–5)</w:t>
      </w:r>
    </w:p>
    <w:p>
      <w:pPr>
        <w:pStyle w:val="ListParagraph"/>
        <w:numPr>
          <w:ilvl w:val="0"/>
          <w:numId w:val="3"/>
        </w:numPr>
        <w:spacing w:after="60" w:before="40"/>
        <w:ind w:left="720" w:hanging="360"/>
      </w:pPr>
      <w:r>
        <w:rPr>
          <w:rFonts w:ascii="Arial" w:cs="Arial" w:eastAsia="Arial" w:hAnsi="Arial"/>
          <w:sz w:val="22"/>
          <w:szCs w:val="22"/>
        </w:rPr>
        <w:t xml:space="preserve">Total population</w:t>
      </w:r>
    </w:p>
    <w:p>
      <w:pPr>
        <w:pStyle w:val="ListParagraph"/>
        <w:numPr>
          <w:ilvl w:val="0"/>
          <w:numId w:val="3"/>
        </w:numPr>
        <w:spacing w:after="60" w:before="40"/>
        <w:ind w:left="720" w:hanging="360"/>
      </w:pPr>
      <w:r>
        <w:rPr>
          <w:rFonts w:ascii="Arial" w:cs="Arial" w:eastAsia="Arial" w:hAnsi="Arial"/>
          <w:sz w:val="22"/>
          <w:szCs w:val="22"/>
        </w:rPr>
        <w:t xml:space="preserve">Children count and density ratio</w:t>
      </w:r>
    </w:p>
    <w:p>
      <w:pPr>
        <w:pStyle w:val="ListParagraph"/>
        <w:numPr>
          <w:ilvl w:val="0"/>
          <w:numId w:val="3"/>
        </w:numPr>
        <w:spacing w:after="60" w:before="40"/>
        <w:ind w:left="720" w:hanging="360"/>
      </w:pPr>
      <w:r>
        <w:rPr>
          <w:rFonts w:ascii="Arial" w:cs="Arial" w:eastAsia="Arial" w:hAnsi="Arial"/>
          <w:sz w:val="22"/>
          <w:szCs w:val="22"/>
        </w:rPr>
        <w:t xml:space="preserve">Senior citizen count and density ratio</w:t>
      </w:r>
    </w:p>
    <w:p>
      <w:pPr>
        <w:pStyle w:val="ListParagraph"/>
        <w:numPr>
          <w:ilvl w:val="0"/>
          <w:numId w:val="3"/>
        </w:numPr>
        <w:spacing w:after="60" w:before="40"/>
        <w:ind w:left="720" w:hanging="360"/>
      </w:pPr>
      <w:r>
        <w:rPr>
          <w:rFonts w:ascii="Arial" w:cs="Arial" w:eastAsia="Arial" w:hAnsi="Arial"/>
          <w:sz w:val="22"/>
          <w:szCs w:val="22"/>
        </w:rPr>
        <w:t xml:space="preserve">PWD count</w:t>
      </w:r>
    </w:p>
    <w:p>
      <w:pPr>
        <w:pStyle w:val="ListParagraph"/>
        <w:numPr>
          <w:ilvl w:val="0"/>
          <w:numId w:val="3"/>
        </w:numPr>
        <w:spacing w:after="60" w:before="40"/>
        <w:ind w:left="720" w:hanging="360"/>
      </w:pPr>
      <w:r>
        <w:rPr>
          <w:rFonts w:ascii="Arial" w:cs="Arial" w:eastAsia="Arial" w:hAnsi="Arial"/>
          <w:sz w:val="22"/>
          <w:szCs w:val="22"/>
        </w:rPr>
        <w:t xml:space="preserve">Date of last demographic update</w:t>
      </w:r>
    </w:p>
    <w:p>
      <w:pPr>
        <w:pStyle w:val="ListParagraph"/>
        <w:numPr>
          <w:ilvl w:val="0"/>
          <w:numId w:val="3"/>
        </w:numPr>
        <w:spacing w:after="60" w:before="40"/>
        <w:ind w:left="720" w:hanging="360"/>
      </w:pPr>
      <w:r>
        <w:rPr>
          <w:rFonts w:ascii="Arial" w:cs="Arial" w:eastAsia="Arial" w:hAnsi="Arial"/>
          <w:sz w:val="22"/>
          <w:szCs w:val="22"/>
        </w:rPr>
        <w:t xml:space="preserve">Distribution history: last 3 completed distributions (date + goods type)</w:t>
      </w:r>
    </w:p>
    <w:p>
      <w:pPr>
        <w:pStyle w:val="ListParagraph"/>
        <w:numPr>
          <w:ilvl w:val="0"/>
          <w:numId w:val="3"/>
        </w:numPr>
        <w:spacing w:after="60" w:before="40"/>
        <w:ind w:left="720" w:hanging="360"/>
      </w:pPr>
      <w:r>
        <w:rPr>
          <w:rFonts w:ascii="Arial" w:cs="Arial" w:eastAsia="Arial" w:hAnsi="Arial"/>
          <w:sz w:val="22"/>
          <w:szCs w:val="22"/>
        </w:rPr>
        <w:t xml:space="preserve">'Propose Distribution' button (activates the proposal form pre-filled with this barangay)</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Feature 3: Distribution Proposal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Field</w:t>
            </w:r>
          </w:p>
        </w:tc>
        <w:tc>
          <w:tcPr>
            <w:tcW w:type="dxa" w:w="26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Type</w:t>
            </w:r>
          </w:p>
        </w:tc>
        <w:tc>
          <w:tcPr>
            <w:tcW w:type="dxa" w:w="436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Validation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Target Barangay</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Auto-filled (from map selection) or searchable dropdown</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Proposed Goods Type</w:t>
            </w:r>
          </w:p>
        </w:tc>
        <w:tc>
          <w:tcPr>
            <w:tcW w:type="dxa" w:w="2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Dropdown (from inventory list)</w:t>
            </w:r>
          </w:p>
        </w:tc>
        <w:tc>
          <w:tcPr>
            <w:tcW w:type="dxa" w:w="43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must match an active inventory item</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Proposed Quantity</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Numeric + unit</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Required; positive number; warning shown if exceeds available inventory</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Proposed Distribution Date</w:t>
            </w:r>
          </w:p>
        </w:tc>
        <w:tc>
          <w:tcPr>
            <w:tcW w:type="dxa" w:w="2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Date picker</w:t>
            </w:r>
          </w:p>
        </w:tc>
        <w:tc>
          <w:tcPr>
            <w:tcW w:type="dxa" w:w="43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Required; must be at least 3 days in the future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Proposed Time Window</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Time range picker (e.g., 8:00 AM – 12:00 PM)</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Optional but recommended</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Additional Goods (optional)</w:t>
            </w:r>
          </w:p>
        </w:tc>
        <w:tc>
          <w:tcPr>
            <w:tcW w:type="dxa" w:w="2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Repeatable goods row (type + qty)</w:t>
            </w:r>
          </w:p>
        </w:tc>
        <w:tc>
          <w:tcPr>
            <w:tcW w:type="dxa" w:w="436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Max 5 additional goods entries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Message to Barangay Secretary</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Text area</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Optional; max 500 characters</w:t>
            </w:r>
          </w:p>
        </w:tc>
      </w:tr>
    </w:tbl>
    <w:p>
      <w:pPr>
        <w:spacing w:after="80" w:before="80"/>
      </w:pPr>
      <w:r>
        <w:t xml:space="preserve"/>
      </w:r>
    </w:p>
    <w:p>
      <w:pPr>
        <w:spacing w:after="100" w:before="80"/>
      </w:pPr>
      <w:r>
        <w:rPr>
          <w:rFonts w:ascii="Arial" w:cs="Arial" w:eastAsia="Arial" w:hAnsi="Arial"/>
          <w:b/>
          <w:bCs/>
          <w:sz w:val="22"/>
          <w:szCs w:val="22"/>
        </w:rPr>
        <w:t xml:space="preserve">No reservation mechanism: </w:t>
      </w:r>
      <w:r>
        <w:rPr>
          <w:rFonts w:ascii="Arial" w:cs="Arial" w:eastAsia="Arial" w:hAnsi="Arial"/>
          <w:sz w:val="22"/>
          <w:szCs w:val="22"/>
        </w:rPr>
        <w:t xml:space="preserve">Proposing a distribution does not lock or reduce inventory. Inventory is tracked separately and is only informational during the proposal stage.</w:t>
      </w:r>
    </w:p>
    <w:p>
      <w:pPr>
        <w:spacing w:after="80" w:before="80"/>
      </w:pPr>
      <w:r>
        <w:t xml:space="preserve"/>
      </w:r>
    </w:p>
    <w:p>
      <w:pPr>
        <w:pBdr>
          <w:bottom w:val="single" w:color="BDD7EE" w:sz="4" w:space="1"/>
        </w:pBdr>
        <w:spacing w:after="120" w:before="120"/>
      </w:pPr>
      <w:r>
        <w:t xml:space="preserve"/>
      </w:r>
    </w:p>
    <w:p>
      <w:pPr>
        <w:pStyle w:val="Heading2"/>
        <w:spacing w:after="140" w:before="280"/>
      </w:pPr>
      <w:r>
        <w:rPr>
          <w:rFonts w:ascii="Arial" w:cs="Arial" w:eastAsia="Arial" w:hAnsi="Arial"/>
          <w:b/>
          <w:bCs/>
          <w:color w:val="2E75B6"/>
          <w:sz w:val="26"/>
          <w:szCs w:val="26"/>
        </w:rPr>
        <w:t xml:space="preserve">1.8  Role-Based Access Rules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Function / Action</w:t>
            </w:r>
          </w:p>
        </w:tc>
        <w:tc>
          <w:tcPr>
            <w:tcW w:type="dxa" w:w="20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Barangay Secretary</w:t>
            </w:r>
          </w:p>
        </w:tc>
        <w:tc>
          <w:tcPr>
            <w:tcW w:type="dxa" w:w="2000"/>
            <w:tcBorders>
              <w:top w:val="single" w:color="B8CCE4" w:sz="1"/>
              <w:left w:val="single" w:color="B8CCE4" w:sz="1"/>
              <w:bottom w:val="single" w:color="B8CCE4" w:sz="1"/>
              <w:right w:val="single" w:color="B8CCE4" w:sz="1"/>
            </w:tcBorders>
            <w:shd w:fill="D9E2F3"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Foodbank Representative</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Create/update own barangay demographic profile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View own barangay demographic profile</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 (via map)</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View other barangays' demographic profiles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(via map)</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Input and manage inventory</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View interactive barangay map</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Submit distribution proposal</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Review and confirm/decline proposals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(own barangay only)</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Log completed distribution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View own barangay's distribution history</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View system-wide distribution statistics</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View-only on dashboard</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 (via Reports)</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Access admin settings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 (admin role only)</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Export data as CSV</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 (own data only)</w:t>
            </w:r>
          </w:p>
        </w:tc>
        <w:tc>
          <w:tcPr>
            <w:tcW w:type="dxa" w:w="2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tcPr>
          <w:p>
            <w:pPr>
              <w:spacing w:after="40" w:before="40"/>
            </w:pPr>
            <w:r>
              <w:rPr>
                <w:rFonts w:ascii="Arial" w:cs="Arial" w:eastAsia="Arial" w:hAnsi="Arial"/>
                <w:sz w:val="20"/>
                <w:szCs w:val="20"/>
              </w:rPr>
              <w:t xml:space="preserve">YES (aggregate reports)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1.9  Admin Dashboard (Cross-Role View)</w:t>
      </w:r>
    </w:p>
    <w:p>
      <w:pPr>
        <w:spacing w:after="100" w:before="80"/>
      </w:pPr>
      <w:r>
        <w:rPr>
          <w:rFonts w:ascii="Arial" w:cs="Arial" w:eastAsia="Arial" w:hAnsi="Arial"/>
          <w:sz w:val="22"/>
          <w:szCs w:val="22"/>
        </w:rPr>
        <w:t xml:space="preserve">The Admin Dashboard is accessible to a separate system administrator role and provides a read-only overview for monitoring and transparency:</w:t>
      </w:r>
    </w:p>
    <w:p>
      <w:pPr>
        <w:pStyle w:val="ListParagraph"/>
        <w:numPr>
          <w:ilvl w:val="0"/>
          <w:numId w:val="3"/>
        </w:numPr>
        <w:spacing w:after="60" w:before="40"/>
        <w:ind w:left="720" w:hanging="360"/>
      </w:pPr>
      <w:r>
        <w:rPr>
          <w:rFonts w:ascii="Arial" w:cs="Arial" w:eastAsia="Arial" w:hAnsi="Arial"/>
          <w:sz w:val="22"/>
          <w:szCs w:val="22"/>
        </w:rPr>
        <w:t xml:space="preserve">Distribution frequency per barangay (bar/line chart view)</w:t>
      </w:r>
    </w:p>
    <w:p>
      <w:pPr>
        <w:pStyle w:val="ListParagraph"/>
        <w:numPr>
          <w:ilvl w:val="0"/>
          <w:numId w:val="3"/>
        </w:numPr>
        <w:spacing w:after="60" w:before="40"/>
        <w:ind w:left="720" w:hanging="360"/>
      </w:pPr>
      <w:r>
        <w:rPr>
          <w:rFonts w:ascii="Arial" w:cs="Arial" w:eastAsia="Arial" w:hAnsi="Arial"/>
          <w:sz w:val="22"/>
          <w:szCs w:val="22"/>
        </w:rPr>
        <w:t xml:space="preserve">Allocation history by goods type</w:t>
      </w:r>
    </w:p>
    <w:p>
      <w:pPr>
        <w:pStyle w:val="ListParagraph"/>
        <w:numPr>
          <w:ilvl w:val="0"/>
          <w:numId w:val="3"/>
        </w:numPr>
        <w:spacing w:after="60" w:before="40"/>
        <w:ind w:left="720" w:hanging="360"/>
      </w:pPr>
      <w:r>
        <w:rPr>
          <w:rFonts w:ascii="Arial" w:cs="Arial" w:eastAsia="Arial" w:hAnsi="Arial"/>
          <w:sz w:val="22"/>
          <w:szCs w:val="22"/>
        </w:rPr>
        <w:t xml:space="preserve">Barangays not served in the last 30/60/90 days</w:t>
      </w:r>
    </w:p>
    <w:p>
      <w:pPr>
        <w:pStyle w:val="ListParagraph"/>
        <w:numPr>
          <w:ilvl w:val="0"/>
          <w:numId w:val="3"/>
        </w:numPr>
        <w:spacing w:after="60" w:before="40"/>
        <w:ind w:left="720" w:hanging="360"/>
      </w:pPr>
      <w:r>
        <w:rPr>
          <w:rFonts w:ascii="Arial" w:cs="Arial" w:eastAsia="Arial" w:hAnsi="Arial"/>
          <w:sz w:val="22"/>
          <w:szCs w:val="22"/>
        </w:rPr>
        <w:t xml:space="preserve">Summary statistics: total distributions, unique barangays served, most common goods type distributed</w:t>
      </w:r>
    </w:p>
    <w:p>
      <w:pPr>
        <w:pStyle w:val="ListParagraph"/>
        <w:numPr>
          <w:ilvl w:val="0"/>
          <w:numId w:val="3"/>
        </w:numPr>
        <w:spacing w:after="60" w:before="40"/>
        <w:ind w:left="720" w:hanging="360"/>
      </w:pPr>
      <w:r>
        <w:rPr>
          <w:rFonts w:ascii="Arial" w:cs="Arial" w:eastAsia="Arial" w:hAnsi="Arial"/>
          <w:sz w:val="22"/>
          <w:szCs w:val="22"/>
        </w:rPr>
        <w:t xml:space="preserve">Audit log: all proposal submissions, confirmations, declines, and distribution logs with timestamps and responsible parties</w:t>
      </w:r>
    </w:p>
    <w:p>
      <w:pPr>
        <w:spacing w:after="80" w:before="80"/>
      </w:pPr>
      <w:r>
        <w:t xml:space="preserve"/>
      </w:r>
    </w:p>
    <w:p>
      <w:r>
        <w:br w:type="page"/>
      </w:r>
    </w:p>
    <w:p>
      <w:pPr>
        <w:spacing w:after="80" w:before="240"/>
      </w:pPr>
      <w:r>
        <w:rPr>
          <w:rFonts w:ascii="Arial" w:cs="Arial" w:eastAsia="Arial" w:hAnsi="Arial"/>
          <w:b/>
          <w:bCs/>
          <w:color w:val="2E75B6"/>
          <w:sz w:val="36"/>
          <w:szCs w:val="36"/>
        </w:rPr>
        <w:t xml:space="preserve">PART 2</w:t>
      </w:r>
    </w:p>
    <w:p>
      <w:pPr>
        <w:pStyle w:val="Heading1"/>
        <w:pBdr>
          <w:bottom w:val="single" w:color="2E75B6" w:sz="8" w:space="4"/>
        </w:pBdr>
        <w:spacing w:after="200" w:before="360"/>
      </w:pPr>
      <w:r>
        <w:rPr>
          <w:rFonts w:ascii="Arial" w:cs="Arial" w:eastAsia="Arial" w:hAnsi="Arial"/>
          <w:b/>
          <w:bCs/>
          <w:color w:val="1F4E79"/>
          <w:sz w:val="32"/>
          <w:szCs w:val="32"/>
        </w:rPr>
        <w:t xml:space="preserve">Problem Description and Solution Description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2.1  Problem Description</w:t>
      </w:r>
    </w:p>
    <w:p>
      <w:pPr>
        <w:spacing w:after="100" w:before="80"/>
      </w:pPr>
      <w:r>
        <w:rPr>
          <w:rFonts w:ascii="Arial" w:cs="Arial" w:eastAsia="Arial" w:hAnsi="Arial"/>
          <w:sz w:val="22"/>
          <w:szCs w:val="22"/>
        </w:rPr>
        <w:t xml:space="preserve">Food insecurity remains a persistent challenge in the Philippines, where poverty and geographic fragmentation complicate equitable access to nutrition assistance. According to the Philippine Statistics Authority (PSA), </w:t>
      </w:r>
      <w:r>
        <w:rPr>
          <w:rFonts w:ascii="Arial" w:cs="Arial" w:eastAsia="Arial" w:hAnsi="Arial"/>
          <w:b/>
          <w:bCs/>
          <w:sz w:val="22"/>
          <w:szCs w:val="22"/>
        </w:rPr>
        <w:t xml:space="preserve">15.5% of Filipinos — approximately 17.54 million individuals — were classified as poor in 2023</w:t>
      </w:r>
      <w:r>
        <w:rPr>
          <w:rFonts w:ascii="Arial" w:cs="Arial" w:eastAsia="Arial" w:hAnsi="Arial"/>
          <w:sz w:val="22"/>
          <w:szCs w:val="22"/>
        </w:rPr>
        <w:t xml:space="preserve">, with 4.84 million living below the food threshold, unable to meet even their minimum food needs</w:t>
      </w:r>
      <w:r>
        <w:rPr>
          <w:rFonts w:ascii="Arial" w:cs="Arial" w:eastAsia="Arial" w:hAnsi="Arial"/>
          <w:sz w:val="18"/>
          <w:szCs w:val="18"/>
          <w:vertAlign w:val="superscript"/>
        </w:rPr>
        <w:t xml:space="preserve">[1]</w:t>
      </w:r>
      <w:r>
        <w:rPr>
          <w:rFonts w:ascii="Arial" w:cs="Arial" w:eastAsia="Arial" w:hAnsi="Arial"/>
          <w:sz w:val="22"/>
          <w:szCs w:val="22"/>
        </w:rPr>
        <w:t xml:space="preserve">. The burden of food insecurity is not uniformly distributed: senior citizens, persons with disabilities (PWDs), and children under five are among the most vulnerable sectors, with structural barriers limiting their access to formal assistance</w:t>
      </w:r>
      <w:r>
        <w:rPr>
          <w:rFonts w:ascii="Arial" w:cs="Arial" w:eastAsia="Arial" w:hAnsi="Arial"/>
          <w:sz w:val="18"/>
          <w:szCs w:val="18"/>
          <w:vertAlign w:val="superscript"/>
        </w:rPr>
        <w:t xml:space="preserve">[2]</w:t>
      </w:r>
      <w:r>
        <w:rPr>
          <w:rFonts w:ascii="Arial" w:cs="Arial" w:eastAsia="Arial" w:hAnsi="Arial"/>
          <w:sz w:val="22"/>
          <w:szCs w:val="22"/>
        </w:rPr>
        <w:t xml:space="preserve">.</w:t>
      </w:r>
    </w:p>
    <w:p>
      <w:pPr>
        <w:spacing w:after="80" w:before="80"/>
      </w:pPr>
      <w:r>
        <w:t xml:space="preserve"/>
      </w:r>
    </w:p>
    <w:p>
      <w:pPr>
        <w:spacing w:after="100" w:before="80"/>
      </w:pPr>
      <w:r>
        <w:rPr>
          <w:rFonts w:ascii="Arial" w:cs="Arial" w:eastAsia="Arial" w:hAnsi="Arial"/>
          <w:sz w:val="22"/>
          <w:szCs w:val="22"/>
        </w:rPr>
        <w:t xml:space="preserve">Food assistance programs at the barangay level — the smallest administrative unit in the Philippines — operate within a fragmented coordination landscape. The 2022 Philippine National Demographic and Health Survey (NDHS), implemented by the PSA across 42,036 barangays nationwide, underscores that communities vary substantially in population composition, poverty classification, and the density of vulnerable sub-groups</w:t>
      </w:r>
      <w:r>
        <w:rPr>
          <w:rFonts w:ascii="Arial" w:cs="Arial" w:eastAsia="Arial" w:hAnsi="Arial"/>
          <w:sz w:val="18"/>
          <w:szCs w:val="18"/>
          <w:vertAlign w:val="superscript"/>
        </w:rPr>
        <w:t xml:space="preserve">[3]</w:t>
      </w:r>
      <w:r>
        <w:rPr>
          <w:rFonts w:ascii="Arial" w:cs="Arial" w:eastAsia="Arial" w:hAnsi="Arial"/>
          <w:sz w:val="22"/>
          <w:szCs w:val="22"/>
        </w:rPr>
        <w:t xml:space="preserve">. Despite this documented heterogeneity, food allocation decisions are often made without reference to current, barangay-specific demographic data, resulting in a mismatch between the goods distributed and the actual composition of recipient communities.</w:t>
      </w:r>
    </w:p>
    <w:p>
      <w:pPr>
        <w:spacing w:after="80" w:before="80"/>
      </w:pPr>
      <w:r>
        <w:t xml:space="preserve"/>
      </w:r>
    </w:p>
    <w:p>
      <w:pPr>
        <w:spacing w:after="100" w:before="80"/>
      </w:pPr>
      <w:r>
        <w:rPr>
          <w:rFonts w:ascii="Arial" w:cs="Arial" w:eastAsia="Arial" w:hAnsi="Arial"/>
          <w:sz w:val="22"/>
          <w:szCs w:val="22"/>
        </w:rPr>
        <w:t xml:space="preserve">The Philippine food system faces a triple burden of malnutrition — undernutrition, micronutrient deficiency, and rising overnutrition — compounded by weak coordination between food aid actors</w:t>
      </w:r>
      <w:r>
        <w:rPr>
          <w:rFonts w:ascii="Arial" w:cs="Arial" w:eastAsia="Arial" w:hAnsi="Arial"/>
          <w:sz w:val="18"/>
          <w:szCs w:val="18"/>
          <w:vertAlign w:val="superscript"/>
        </w:rPr>
        <w:t xml:space="preserve">[4]</w:t>
      </w:r>
      <w:r>
        <w:rPr>
          <w:rFonts w:ascii="Arial" w:cs="Arial" w:eastAsia="Arial" w:hAnsi="Arial"/>
          <w:sz w:val="22"/>
          <w:szCs w:val="22"/>
        </w:rPr>
        <w:t xml:space="preserve">. As noted by Golloso-Gubat et al. (2024), food insecurity in the Philippines increased from 41% in 2019 to 44% by 2023, reflecting the sustained impact of pandemic-induced disruptions alongside persistent structural inequities in food access</w:t>
      </w:r>
      <w:r>
        <w:rPr>
          <w:rFonts w:ascii="Arial" w:cs="Arial" w:eastAsia="Arial" w:hAnsi="Arial"/>
          <w:sz w:val="18"/>
          <w:szCs w:val="18"/>
          <w:vertAlign w:val="superscript"/>
        </w:rPr>
        <w:t xml:space="preserve">[4]</w:t>
      </w:r>
      <w:r>
        <w:rPr>
          <w:rFonts w:ascii="Arial" w:cs="Arial" w:eastAsia="Arial" w:hAnsi="Arial"/>
          <w:sz w:val="22"/>
          <w:szCs w:val="22"/>
        </w:rPr>
        <w:t xml:space="preserve">.</w:t>
      </w:r>
    </w:p>
    <w:p>
      <w:pPr>
        <w:spacing w:after="80" w:before="80"/>
      </w:pPr>
      <w:r>
        <w:t xml:space="preserve"/>
      </w:r>
    </w:p>
    <w:p>
      <w:pPr>
        <w:spacing w:after="100" w:before="80"/>
      </w:pPr>
      <w:r>
        <w:rPr>
          <w:rFonts w:ascii="Arial" w:cs="Arial" w:eastAsia="Arial" w:hAnsi="Arial"/>
          <w:sz w:val="22"/>
          <w:szCs w:val="22"/>
        </w:rPr>
        <w:t xml:space="preserve">Foodbanks and community feeding programs represent a critical but undercoordinated layer of the food safety net. As documented in the humanitarian logistics literature, food banks commonly face challenges including </w:t>
      </w:r>
      <w:r>
        <w:rPr>
          <w:rFonts w:ascii="Arial" w:cs="Arial" w:eastAsia="Arial" w:hAnsi="Arial"/>
          <w:i/>
          <w:iCs/>
          <w:sz w:val="22"/>
          <w:szCs w:val="22"/>
        </w:rPr>
        <w:t xml:space="preserve">overlapping mandates, gaps in local capacity, fragmentation of information systems</w:t>
      </w:r>
      <w:r>
        <w:rPr>
          <w:rFonts w:ascii="Arial" w:cs="Arial" w:eastAsia="Arial" w:hAnsi="Arial"/>
          <w:sz w:val="22"/>
          <w:szCs w:val="22"/>
        </w:rPr>
        <w:t xml:space="preserve">, and the absence of structured mechanisms to match supply with area-specific need</w:t>
      </w:r>
      <w:r>
        <w:rPr>
          <w:rFonts w:ascii="Arial" w:cs="Arial" w:eastAsia="Arial" w:hAnsi="Arial"/>
          <w:sz w:val="18"/>
          <w:szCs w:val="18"/>
          <w:vertAlign w:val="superscript"/>
        </w:rPr>
        <w:t xml:space="preserve">[5]</w:t>
      </w:r>
      <w:r>
        <w:rPr>
          <w:rFonts w:ascii="Arial" w:cs="Arial" w:eastAsia="Arial" w:hAnsi="Arial"/>
          <w:sz w:val="22"/>
          <w:szCs w:val="22"/>
        </w:rPr>
        <w:t xml:space="preserve">. In the Philippine context, many local food banks still rely on paper-based coordination, making real-time tracking and equitable allocation difficult. During emergencies or disasters, these limitations result in slow mobilization and underserved communities.</w:t>
      </w:r>
    </w:p>
    <w:p>
      <w:pPr>
        <w:spacing w:after="80" w:before="80"/>
      </w:pPr>
      <w:r>
        <w:t xml:space="preserve"/>
      </w:r>
    </w:p>
    <w:p>
      <w:pPr>
        <w:spacing w:after="100" w:before="80"/>
      </w:pPr>
      <w:r>
        <w:rPr>
          <w:rFonts w:ascii="Arial" w:cs="Arial" w:eastAsia="Arial" w:hAnsi="Arial"/>
          <w:sz w:val="22"/>
          <w:szCs w:val="22"/>
        </w:rPr>
        <w:t xml:space="preserve">The absence of a shared, centralized platform means that both Barangay Secretaries and Foodbank Representatives operate with incomplete visibility into each other's data. This structural gap produces several recurring failures in food assistance delivery:</w:t>
      </w:r>
    </w:p>
    <w:p>
      <w:pPr>
        <w:spacing w:after="80" w:before="80"/>
      </w:pPr>
      <w:r>
        <w:t xml:space="preserve"/>
      </w:r>
    </w:p>
    <w:p>
      <w:pPr>
        <w:pStyle w:val="ListParagraph"/>
        <w:numPr>
          <w:ilvl w:val="0"/>
          <w:numId w:val="3"/>
        </w:numPr>
        <w:spacing w:after="60" w:before="40"/>
        <w:ind w:left="720" w:hanging="360"/>
      </w:pPr>
      <w:r>
        <w:rPr>
          <w:rFonts w:ascii="Arial" w:cs="Arial" w:eastAsia="Arial" w:hAnsi="Arial"/>
          <w:b/>
          <w:bCs/>
          <w:sz w:val="22"/>
          <w:szCs w:val="22"/>
        </w:rPr>
        <w:t xml:space="preserve">Mismatched allocations: </w:t>
      </w:r>
      <w:r>
        <w:rPr>
          <w:rFonts w:ascii="Arial" w:cs="Arial" w:eastAsia="Arial" w:hAnsi="Arial"/>
          <w:sz w:val="22"/>
          <w:szCs w:val="22"/>
        </w:rPr>
        <w:t xml:space="preserve">Child-focused goods (e.g., milk, baby formula) are distributed to barangays with low child density, while barangays with high concentrations of children remain underserved.</w:t>
      </w:r>
    </w:p>
    <w:p>
      <w:pPr>
        <w:pStyle w:val="ListParagraph"/>
        <w:numPr>
          <w:ilvl w:val="0"/>
          <w:numId w:val="3"/>
        </w:numPr>
        <w:spacing w:after="60" w:before="40"/>
        <w:ind w:left="720" w:hanging="360"/>
      </w:pPr>
      <w:r>
        <w:rPr>
          <w:rFonts w:ascii="Arial" w:cs="Arial" w:eastAsia="Arial" w:hAnsi="Arial"/>
          <w:b/>
          <w:bCs/>
          <w:sz w:val="22"/>
          <w:szCs w:val="22"/>
        </w:rPr>
        <w:t xml:space="preserve">Inequitable reach: </w:t>
      </w:r>
      <w:r>
        <w:rPr>
          <w:rFonts w:ascii="Arial" w:cs="Arial" w:eastAsia="Arial" w:hAnsi="Arial"/>
          <w:sz w:val="22"/>
          <w:szCs w:val="22"/>
        </w:rPr>
        <w:t xml:space="preserve">Certain barangays receive repeated distributions — often because they are geographically accessible or have established Foodbank relationships — while others are chronically overlooked.</w:t>
      </w:r>
    </w:p>
    <w:p>
      <w:pPr>
        <w:pStyle w:val="ListParagraph"/>
        <w:numPr>
          <w:ilvl w:val="0"/>
          <w:numId w:val="3"/>
        </w:numPr>
        <w:spacing w:after="60" w:before="40"/>
        <w:ind w:left="720" w:hanging="360"/>
      </w:pPr>
      <w:r>
        <w:rPr>
          <w:rFonts w:ascii="Arial" w:cs="Arial" w:eastAsia="Arial" w:hAnsi="Arial"/>
          <w:b/>
          <w:bCs/>
          <w:sz w:val="22"/>
          <w:szCs w:val="22"/>
        </w:rPr>
        <w:t xml:space="preserve">Underserving of vulnerable groups: </w:t>
      </w:r>
      <w:r>
        <w:rPr>
          <w:rFonts w:ascii="Arial" w:cs="Arial" w:eastAsia="Arial" w:hAnsi="Arial"/>
          <w:sz w:val="22"/>
          <w:szCs w:val="22"/>
        </w:rPr>
        <w:t xml:space="preserve">Senior citizens, PWDs, and young children are the groups most likely to be missed when allocation decisions are made without demographic profiling</w:t>
      </w:r>
      <w:r>
        <w:rPr>
          <w:rFonts w:ascii="Arial" w:cs="Arial" w:eastAsia="Arial" w:hAnsi="Arial"/>
          <w:sz w:val="18"/>
          <w:szCs w:val="18"/>
          <w:vertAlign w:val="superscript"/>
        </w:rPr>
        <w:t xml:space="preserve">[2]</w:t>
      </w:r>
    </w:p>
    <w:p>
      <w:pPr>
        <w:pStyle w:val="ListParagraph"/>
        <w:numPr>
          <w:ilvl w:val="0"/>
          <w:numId w:val="3"/>
        </w:numPr>
        <w:spacing w:after="60" w:before="40"/>
        <w:ind w:left="720" w:hanging="360"/>
      </w:pPr>
      <w:r>
        <w:rPr>
          <w:rFonts w:ascii="Arial" w:cs="Arial" w:eastAsia="Arial" w:hAnsi="Arial"/>
          <w:b/>
          <w:bCs/>
          <w:sz w:val="22"/>
          <w:szCs w:val="22"/>
        </w:rPr>
        <w:t xml:space="preserve">Documentation gaps: </w:t>
      </w:r>
      <w:r>
        <w:rPr>
          <w:rFonts w:ascii="Arial" w:cs="Arial" w:eastAsia="Arial" w:hAnsi="Arial"/>
          <w:sz w:val="22"/>
          <w:szCs w:val="22"/>
        </w:rPr>
        <w:t xml:space="preserve">Manual, paper-based records are incomplete, inconsistent, and difficult to audit, reducing transparency and accountability in public aid distribution.</w:t>
      </w:r>
    </w:p>
    <w:p>
      <w:pPr>
        <w:spacing w:after="80" w:before="80"/>
      </w:pPr>
      <w:r>
        <w:t xml:space="preserve"/>
      </w:r>
    </w:p>
    <w:p>
      <w:pPr>
        <w:spacing w:after="100" w:before="80"/>
      </w:pPr>
      <w:r>
        <w:rPr>
          <w:rFonts w:ascii="Arial" w:cs="Arial" w:eastAsia="Arial" w:hAnsi="Arial"/>
          <w:sz w:val="22"/>
          <w:szCs w:val="22"/>
        </w:rPr>
        <w:t xml:space="preserve">The Department of Social Welfare and Development (DSWD), through its Protective Services Program and the Pantawid Pamilyang Pilipino Program (4Ps), provides structured national-level social protection. However, barangay-level food assistance coordination — particularly involving community foodbanks and local food packs — remains informal and disconnected from these national frameworks</w:t>
      </w:r>
      <w:r>
        <w:rPr>
          <w:rFonts w:ascii="Arial" w:cs="Arial" w:eastAsia="Arial" w:hAnsi="Arial"/>
          <w:sz w:val="18"/>
          <w:szCs w:val="18"/>
          <w:vertAlign w:val="superscript"/>
        </w:rPr>
        <w:t xml:space="preserve">[6]</w:t>
      </w:r>
      <w:r>
        <w:rPr>
          <w:rFonts w:ascii="Arial" w:cs="Arial" w:eastAsia="Arial" w:hAnsi="Arial"/>
          <w:sz w:val="22"/>
          <w:szCs w:val="22"/>
        </w:rPr>
        <w:t xml:space="preserve">. The gap between national program design and grassroots-level distribution execution is where coordination failures are most acute.</w:t>
      </w:r>
    </w:p>
    <w:p>
      <w:pPr>
        <w:spacing w:after="80" w:before="80"/>
      </w:pPr>
      <w:r>
        <w:t xml:space="preserve"/>
      </w:r>
    </w:p>
    <w:p>
      <w:pPr>
        <w:spacing w:after="100" w:before="80"/>
      </w:pPr>
      <w:r>
        <w:rPr>
          <w:rFonts w:ascii="Arial" w:cs="Arial" w:eastAsia="Arial" w:hAnsi="Arial"/>
          <w:sz w:val="22"/>
          <w:szCs w:val="22"/>
        </w:rPr>
        <w:t xml:space="preserve">Digital tools have demonstrated strong potential to address these coordination challenges. A scoping review by Martin et al. (2022) confirmed that digital platforms can improve the efficiency, equity, and accountability of food assistance programs by enabling real-time inventory visibility, needs-based targeting, and structured documentation</w:t>
      </w:r>
      <w:r>
        <w:rPr>
          <w:rFonts w:ascii="Arial" w:cs="Arial" w:eastAsia="Arial" w:hAnsi="Arial"/>
          <w:sz w:val="18"/>
          <w:szCs w:val="18"/>
          <w:vertAlign w:val="superscript"/>
        </w:rPr>
        <w:t xml:space="preserve">[7]</w:t>
      </w:r>
      <w:r>
        <w:rPr>
          <w:rFonts w:ascii="Arial" w:cs="Arial" w:eastAsia="Arial" w:hAnsi="Arial"/>
          <w:sz w:val="22"/>
          <w:szCs w:val="22"/>
        </w:rPr>
        <w:t xml:space="preserve">. However, adoption of such tools at the community level — particularly in low-resource settings — requires systems that are purpose-built for the specific coordination needs of local actors, not off-the-shelf commercial platforms. ANGAY is designed to fill precisely this gap.</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2.2  Solution Description</w:t>
      </w:r>
    </w:p>
    <w:p>
      <w:pPr>
        <w:spacing w:after="100" w:before="80"/>
      </w:pPr>
      <w:r>
        <w:rPr>
          <w:rFonts w:ascii="Arial" w:cs="Arial" w:eastAsia="Arial" w:hAnsi="Arial"/>
          <w:sz w:val="22"/>
          <w:szCs w:val="22"/>
        </w:rPr>
        <w:t xml:space="preserve">ANGAY (Accessible Nutrition &amp; Goods Assistance for You) is a web-based coordination and demographic profiling system designed to transform how food assistance is planned, proposed, approved, and documented at the barangay level. By bridging the informational divide between Foodbank Representatives and Barangay Secretaries, ANGAY enables </w:t>
      </w:r>
      <w:r>
        <w:rPr>
          <w:rFonts w:ascii="Arial" w:cs="Arial" w:eastAsia="Arial" w:hAnsi="Arial"/>
          <w:b/>
          <w:bCs/>
          <w:sz w:val="22"/>
          <w:szCs w:val="22"/>
        </w:rPr>
        <w:t xml:space="preserve">data-informed, transparent, and equitable allocation</w:t>
      </w:r>
      <w:r>
        <w:rPr>
          <w:rFonts w:ascii="Arial" w:cs="Arial" w:eastAsia="Arial" w:hAnsi="Arial"/>
          <w:sz w:val="22"/>
          <w:szCs w:val="22"/>
        </w:rPr>
        <w:t xml:space="preserve"> of food goods across communities with diverse demographic profiles.</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A. Demographic-Informed Allocation Support</w:t>
      </w:r>
    </w:p>
    <w:p>
      <w:pPr>
        <w:spacing w:after="100" w:before="80"/>
      </w:pPr>
      <w:r>
        <w:rPr>
          <w:rFonts w:ascii="Arial" w:cs="Arial" w:eastAsia="Arial" w:hAnsi="Arial"/>
          <w:sz w:val="22"/>
          <w:szCs w:val="22"/>
        </w:rPr>
        <w:t xml:space="preserve">At the heart of ANGAY is the </w:t>
      </w:r>
      <w:r>
        <w:rPr>
          <w:rFonts w:ascii="Arial" w:cs="Arial" w:eastAsia="Arial" w:hAnsi="Arial"/>
          <w:b/>
          <w:bCs/>
          <w:sz w:val="22"/>
          <w:szCs w:val="22"/>
        </w:rPr>
        <w:t xml:space="preserve">Barangay Demographic Profile</w:t>
      </w:r>
      <w:r>
        <w:rPr>
          <w:rFonts w:ascii="Arial" w:cs="Arial" w:eastAsia="Arial" w:hAnsi="Arial"/>
          <w:sz w:val="22"/>
          <w:szCs w:val="22"/>
        </w:rPr>
        <w:t xml:space="preserve"> — an aggregated, structured record maintained by the Barangay Secretary that captures total population, counts of senior citizens, PWDs, and children, poverty classification level, and the date of last update. Critically, </w:t>
      </w:r>
      <w:r>
        <w:rPr>
          <w:rFonts w:ascii="Arial" w:cs="Arial" w:eastAsia="Arial" w:hAnsi="Arial"/>
          <w:b/>
          <w:bCs/>
          <w:sz w:val="22"/>
          <w:szCs w:val="22"/>
        </w:rPr>
        <w:t xml:space="preserve">no individual-level personal data is stored</w:t>
      </w:r>
      <w:r>
        <w:rPr>
          <w:rFonts w:ascii="Arial" w:cs="Arial" w:eastAsia="Arial" w:hAnsi="Arial"/>
          <w:sz w:val="22"/>
          <w:szCs w:val="22"/>
        </w:rPr>
        <w:t xml:space="preserve">; only aggregated sector counts are used, ensuring privacy compliance while providing actionable community-level information.</w:t>
      </w:r>
    </w:p>
    <w:p>
      <w:pPr>
        <w:spacing w:after="80" w:before="80"/>
      </w:pPr>
      <w:r>
        <w:t xml:space="preserve"/>
      </w:r>
    </w:p>
    <w:p>
      <w:pPr>
        <w:spacing w:after="100" w:before="80"/>
      </w:pPr>
      <w:r>
        <w:rPr>
          <w:rFonts w:ascii="Arial" w:cs="Arial" w:eastAsia="Arial" w:hAnsi="Arial"/>
          <w:sz w:val="22"/>
          <w:szCs w:val="22"/>
        </w:rPr>
        <w:t xml:space="preserve">This demographic information is surfaced to Foodbank Representatives through an </w:t>
      </w:r>
      <w:r>
        <w:rPr>
          <w:rFonts w:ascii="Arial" w:cs="Arial" w:eastAsia="Arial" w:hAnsi="Arial"/>
          <w:b/>
          <w:bCs/>
          <w:sz w:val="22"/>
          <w:szCs w:val="22"/>
        </w:rPr>
        <w:t xml:space="preserve">interactive map</w:t>
      </w:r>
      <w:r>
        <w:rPr>
          <w:rFonts w:ascii="Arial" w:cs="Arial" w:eastAsia="Arial" w:hAnsi="Arial"/>
          <w:sz w:val="22"/>
          <w:szCs w:val="22"/>
        </w:rPr>
        <w:t xml:space="preserve"> with filter and sort capabilities. The map enables Representatives to identify barangays by </w:t>
      </w:r>
      <w:r>
        <w:rPr>
          <w:rFonts w:ascii="Arial" w:cs="Arial" w:eastAsia="Arial" w:hAnsi="Arial"/>
          <w:i/>
          <w:iCs/>
          <w:sz w:val="22"/>
          <w:szCs w:val="22"/>
        </w:rPr>
        <w:t xml:space="preserve">highest child density, highest senior density, highest poverty classification, and least recently served status</w:t>
      </w:r>
      <w:r>
        <w:rPr>
          <w:rFonts w:ascii="Arial" w:cs="Arial" w:eastAsia="Arial" w:hAnsi="Arial"/>
          <w:sz w:val="22"/>
          <w:szCs w:val="22"/>
        </w:rPr>
        <w:t xml:space="preserve">. This design operationalizes the principle that GIS-based visualization — mapping poverty against supply availability — enables food assistance actors to achieve </w:t>
      </w:r>
      <w:r>
        <w:rPr>
          <w:rFonts w:ascii="Arial" w:cs="Arial" w:eastAsia="Arial" w:hAnsi="Arial"/>
          <w:i/>
          <w:iCs/>
          <w:sz w:val="22"/>
          <w:szCs w:val="22"/>
        </w:rPr>
        <w:t xml:space="preserve">situational awareness</w:t>
      </w:r>
      <w:r>
        <w:rPr>
          <w:rFonts w:ascii="Arial" w:cs="Arial" w:eastAsia="Arial" w:hAnsi="Arial"/>
          <w:sz w:val="22"/>
          <w:szCs w:val="22"/>
        </w:rPr>
        <w:t xml:space="preserve"> and allocate resources more equitably, a strategy validated in humanitarian GIS practice where mapping demographic vulnerability data against supply coverage consistently improves distribution equity</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B. Structured Distribution Proposal and Approval Workflow</w:t>
      </w:r>
    </w:p>
    <w:p>
      <w:pPr>
        <w:spacing w:after="100" w:before="80"/>
      </w:pPr>
      <w:r>
        <w:rPr>
          <w:rFonts w:ascii="Arial" w:cs="Arial" w:eastAsia="Arial" w:hAnsi="Arial"/>
          <w:sz w:val="22"/>
          <w:szCs w:val="22"/>
        </w:rPr>
        <w:t xml:space="preserve">ANGAY replaces informal, phone-based coordination with a </w:t>
      </w:r>
      <w:r>
        <w:rPr>
          <w:rFonts w:ascii="Arial" w:cs="Arial" w:eastAsia="Arial" w:hAnsi="Arial"/>
          <w:b/>
          <w:bCs/>
          <w:sz w:val="22"/>
          <w:szCs w:val="22"/>
        </w:rPr>
        <w:t xml:space="preserve">structured proposal-and-approval workflow</w:t>
      </w:r>
      <w:r>
        <w:rPr>
          <w:rFonts w:ascii="Arial" w:cs="Arial" w:eastAsia="Arial" w:hAnsi="Arial"/>
          <w:sz w:val="22"/>
          <w:szCs w:val="22"/>
        </w:rPr>
        <w:t xml:space="preserve">. Foodbank Representatives submit distribution proposals specifying goods type, quantity, and proposed date. Barangay Secretaries review these proposals and confirm or decline with optional remarks. Every action is timestamped and archived, creating an auditable trail that supports transparency and accountability — a quality that the United Nations E-Government Survey 2024 identifies as central to effective, inclusive digital public service delivery</w:t>
      </w:r>
      <w:r>
        <w:rPr>
          <w:rFonts w:ascii="Arial" w:cs="Arial" w:eastAsia="Arial" w:hAnsi="Arial"/>
          <w:sz w:val="18"/>
          <w:szCs w:val="18"/>
          <w:vertAlign w:val="superscript"/>
        </w:rPr>
        <w:t xml:space="preserve">[8]</w:t>
      </w:r>
      <w:r>
        <w:rPr>
          <w:rFonts w:ascii="Arial" w:cs="Arial" w:eastAsia="Arial" w:hAnsi="Arial"/>
          <w:sz w:val="22"/>
          <w:szCs w:val="22"/>
        </w:rPr>
        <w:t xml:space="preserve">.</w:t>
      </w:r>
    </w:p>
    <w:p>
      <w:pPr>
        <w:spacing w:after="80" w:before="80"/>
      </w:pPr>
      <w:r>
        <w:t xml:space="preserve"/>
      </w:r>
    </w:p>
    <w:p>
      <w:pPr>
        <w:spacing w:after="100" w:before="80"/>
      </w:pPr>
      <w:r>
        <w:rPr>
          <w:rFonts w:ascii="Arial" w:cs="Arial" w:eastAsia="Arial" w:hAnsi="Arial"/>
          <w:sz w:val="22"/>
          <w:szCs w:val="22"/>
        </w:rPr>
        <w:t xml:space="preserve">Importantly, ANGAY does not reserve inventory or process payments. Its role is purely coordinative: it facilitates structured communication and ensures that distribution decisions are documented and traceable.</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C. Foodbank Inventory Management</w:t>
      </w:r>
    </w:p>
    <w:p>
      <w:pPr>
        <w:spacing w:after="100" w:before="80"/>
      </w:pPr>
      <w:r>
        <w:rPr>
          <w:rFonts w:ascii="Arial" w:cs="Arial" w:eastAsia="Arial" w:hAnsi="Arial"/>
          <w:sz w:val="22"/>
          <w:szCs w:val="22"/>
        </w:rPr>
        <w:t xml:space="preserve">Foodbank Representatives maintain a real-time inventory log within ANGAY, recording goods type and available quantity. While this inventory does not enforce supply reservations, it provides an informational signal that helps Representatives propose distributions aligned with what they actually have available. Rivera et al. (2023), in a systematic literature review of food bank supply chain operations, emphasize that </w:t>
      </w:r>
      <w:r>
        <w:rPr>
          <w:rFonts w:ascii="Arial" w:cs="Arial" w:eastAsia="Arial" w:hAnsi="Arial"/>
          <w:i/>
          <w:iCs/>
          <w:sz w:val="22"/>
          <w:szCs w:val="22"/>
        </w:rPr>
        <w:t xml:space="preserve">information integration between food banks and their distribution partners</w:t>
      </w:r>
      <w:r>
        <w:rPr>
          <w:rFonts w:ascii="Arial" w:cs="Arial" w:eastAsia="Arial" w:hAnsi="Arial"/>
          <w:sz w:val="22"/>
          <w:szCs w:val="22"/>
        </w:rPr>
        <w:t xml:space="preserve"> is the primary lever for improving service equity and operational efficiency — precisely the function ANGAY's inventory and proposal modules serve</w:t>
      </w:r>
      <w:r>
        <w:rPr>
          <w:rFonts w:ascii="Arial" w:cs="Arial" w:eastAsia="Arial" w:hAnsi="Arial"/>
          <w:sz w:val="18"/>
          <w:szCs w:val="18"/>
          <w:vertAlign w:val="superscript"/>
        </w:rPr>
        <w:t xml:space="preserve">[5]</w:t>
      </w:r>
      <w:r>
        <w:rPr>
          <w:rFonts w:ascii="Arial" w:cs="Arial" w:eastAsia="Arial" w:hAnsi="Arial"/>
          <w:sz w:val="22"/>
          <w:szCs w:val="22"/>
        </w:rPr>
        <w:t xml:space="preserve">.</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D. Distribution Logging and Transparency</w:t>
      </w:r>
    </w:p>
    <w:p>
      <w:pPr>
        <w:spacing w:after="100" w:before="80"/>
      </w:pPr>
      <w:r>
        <w:rPr>
          <w:rFonts w:ascii="Arial" w:cs="Arial" w:eastAsia="Arial" w:hAnsi="Arial"/>
          <w:sz w:val="22"/>
          <w:szCs w:val="22"/>
        </w:rPr>
        <w:t xml:space="preserve">After distribution, the Barangay Secretary logs the completed distribution — recording goods type, quantity, date, responsible Foodbank, and receiving officer. These logs feed into an </w:t>
      </w:r>
      <w:r>
        <w:rPr>
          <w:rFonts w:ascii="Arial" w:cs="Arial" w:eastAsia="Arial" w:hAnsi="Arial"/>
          <w:b/>
          <w:bCs/>
          <w:sz w:val="22"/>
          <w:szCs w:val="22"/>
        </w:rPr>
        <w:t xml:space="preserve">Admin Dashboard</w:t>
      </w:r>
      <w:r>
        <w:rPr>
          <w:rFonts w:ascii="Arial" w:cs="Arial" w:eastAsia="Arial" w:hAnsi="Arial"/>
          <w:sz w:val="22"/>
          <w:szCs w:val="22"/>
        </w:rPr>
        <w:t xml:space="preserve"> that displays distribution frequency per barangay, allocation history, and summary statistics. This transparency mechanism directly addresses the documentation gap identified in the problem context, ensuring that distribution patterns are visible, comparable, and available for review by authorized oversight roles.</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E. Alignment with Digital Governance Principles</w:t>
      </w:r>
    </w:p>
    <w:p>
      <w:pPr>
        <w:spacing w:after="100" w:before="80"/>
      </w:pPr>
      <w:r>
        <w:rPr>
          <w:rFonts w:ascii="Arial" w:cs="Arial" w:eastAsia="Arial" w:hAnsi="Arial"/>
          <w:sz w:val="22"/>
          <w:szCs w:val="22"/>
        </w:rPr>
        <w:t xml:space="preserve">ANGAY is designed within the framework of digital governance for social services. The 2024 UN E-Government Survey notes that digital government tools must prioritize </w:t>
      </w:r>
      <w:r>
        <w:rPr>
          <w:rFonts w:ascii="Arial" w:cs="Arial" w:eastAsia="Arial" w:hAnsi="Arial"/>
          <w:i/>
          <w:iCs/>
          <w:sz w:val="22"/>
          <w:szCs w:val="22"/>
        </w:rPr>
        <w:t xml:space="preserve">accessibility, equity, and accountability</w:t>
      </w:r>
      <w:r>
        <w:rPr>
          <w:rFonts w:ascii="Arial" w:cs="Arial" w:eastAsia="Arial" w:hAnsi="Arial"/>
          <w:sz w:val="22"/>
          <w:szCs w:val="22"/>
        </w:rPr>
        <w:t xml:space="preserve"> to serve the needs of all citizens, particularly the most vulnerable</w:t>
      </w:r>
      <w:r>
        <w:rPr>
          <w:rFonts w:ascii="Arial" w:cs="Arial" w:eastAsia="Arial" w:hAnsi="Arial"/>
          <w:sz w:val="18"/>
          <w:szCs w:val="18"/>
          <w:vertAlign w:val="superscript"/>
        </w:rPr>
        <w:t xml:space="preserve">[8]</w:t>
      </w:r>
      <w:r>
        <w:rPr>
          <w:rFonts w:ascii="Arial" w:cs="Arial" w:eastAsia="Arial" w:hAnsi="Arial"/>
          <w:sz w:val="22"/>
          <w:szCs w:val="22"/>
        </w:rPr>
        <w:t xml:space="preserve">. ANGAY operationalizes these principles at the sub-municipal level by building a shared data environment that neither the Secretary nor the Foodbank Representative can access in full isolation — cooperation is built into the system's architecture.</w:t>
      </w:r>
    </w:p>
    <w:p>
      <w:pPr>
        <w:spacing w:after="80" w:before="80"/>
      </w:pPr>
      <w:r>
        <w:t xml:space="preserve"/>
      </w:r>
    </w:p>
    <w:p>
      <w:pPr>
        <w:spacing w:after="100" w:before="80"/>
      </w:pPr>
      <w:r>
        <w:rPr>
          <w:rFonts w:ascii="Arial" w:cs="Arial" w:eastAsia="Arial" w:hAnsi="Arial"/>
          <w:sz w:val="22"/>
          <w:szCs w:val="22"/>
        </w:rPr>
        <w:t xml:space="preserve">The Food and Agriculture Organization (FAO) and partner agencies, in the 2023 State of Food Security and Nutrition in the World, affirm that </w:t>
      </w:r>
      <w:r>
        <w:rPr>
          <w:rFonts w:ascii="Arial" w:cs="Arial" w:eastAsia="Arial" w:hAnsi="Arial"/>
          <w:i/>
          <w:iCs/>
          <w:sz w:val="22"/>
          <w:szCs w:val="22"/>
        </w:rPr>
        <w:t xml:space="preserve">transforming agrifood systems to deliver healthy diets for all requires that local governance actors have access to timely, disaggregated data on community needs</w:t>
      </w:r>
      <w:r>
        <w:rPr>
          <w:rFonts w:ascii="Arial" w:cs="Arial" w:eastAsia="Arial" w:hAnsi="Arial"/>
          <w:sz w:val="18"/>
          <w:szCs w:val="18"/>
          <w:vertAlign w:val="superscript"/>
        </w:rPr>
        <w:t xml:space="preserve">[9]</w:t>
      </w:r>
      <w:r>
        <w:rPr>
          <w:rFonts w:ascii="Arial" w:cs="Arial" w:eastAsia="Arial" w:hAnsi="Arial"/>
          <w:sz w:val="22"/>
          <w:szCs w:val="22"/>
        </w:rPr>
        <w:t xml:space="preserve">. ANGAY, by generating demographic summaries and distribution histories at the barangay level, contributes to exactly this kind of </w:t>
      </w:r>
      <w:r>
        <w:rPr>
          <w:rFonts w:ascii="Arial" w:cs="Arial" w:eastAsia="Arial" w:hAnsi="Arial"/>
          <w:b/>
          <w:bCs/>
          <w:sz w:val="22"/>
          <w:szCs w:val="22"/>
        </w:rPr>
        <w:t xml:space="preserve">data visibility for local decision-making</w:t>
      </w:r>
      <w:r>
        <w:rPr>
          <w:rFonts w:ascii="Arial" w:cs="Arial" w:eastAsia="Arial" w:hAnsi="Arial"/>
          <w:sz w:val="22"/>
          <w:szCs w:val="22"/>
        </w:rPr>
        <w:t xml:space="preserve">.</w:t>
      </w:r>
    </w:p>
    <w:p>
      <w:pPr>
        <w:spacing w:after="80" w:before="80"/>
      </w:pPr>
      <w:r>
        <w:t xml:space="preserve"/>
      </w:r>
    </w:p>
    <w:p>
      <w:pPr>
        <w:pStyle w:val="Heading3"/>
        <w:spacing w:after="100" w:before="220"/>
      </w:pPr>
      <w:r>
        <w:rPr>
          <w:rFonts w:ascii="Arial" w:cs="Arial" w:eastAsia="Arial" w:hAnsi="Arial"/>
          <w:b/>
          <w:bCs/>
          <w:color w:val="244872"/>
          <w:sz w:val="23"/>
          <w:szCs w:val="23"/>
        </w:rPr>
        <w:t xml:space="preserve">F. What ANGAY Is Not</w:t>
      </w:r>
    </w:p>
    <w:p>
      <w:pPr>
        <w:spacing w:after="100" w:before="80"/>
      </w:pPr>
      <w:r>
        <w:rPr>
          <w:rFonts w:ascii="Arial" w:cs="Arial" w:eastAsia="Arial" w:hAnsi="Arial"/>
          <w:sz w:val="22"/>
          <w:szCs w:val="22"/>
        </w:rPr>
        <w:t xml:space="preserve">To avoid scope creep and ensure focused development, ANGAY explicitly excludes the following:</w:t>
      </w:r>
    </w:p>
    <w:p>
      <w:pPr>
        <w:pStyle w:val="ListParagraph"/>
        <w:numPr>
          <w:ilvl w:val="0"/>
          <w:numId w:val="3"/>
        </w:numPr>
        <w:spacing w:after="60" w:before="40"/>
        <w:ind w:left="720" w:hanging="360"/>
      </w:pPr>
      <w:r>
        <w:rPr>
          <w:rFonts w:ascii="Arial" w:cs="Arial" w:eastAsia="Arial" w:hAnsi="Arial"/>
          <w:sz w:val="22"/>
          <w:szCs w:val="22"/>
        </w:rPr>
        <w:t xml:space="preserve">Physical logistics management or delivery tracking</w:t>
      </w:r>
    </w:p>
    <w:p>
      <w:pPr>
        <w:pStyle w:val="ListParagraph"/>
        <w:numPr>
          <w:ilvl w:val="0"/>
          <w:numId w:val="3"/>
        </w:numPr>
        <w:spacing w:after="60" w:before="40"/>
        <w:ind w:left="720" w:hanging="360"/>
      </w:pPr>
      <w:r>
        <w:rPr>
          <w:rFonts w:ascii="Arial" w:cs="Arial" w:eastAsia="Arial" w:hAnsi="Arial"/>
          <w:sz w:val="22"/>
          <w:szCs w:val="22"/>
        </w:rPr>
        <w:t xml:space="preserve">Individual household-level data collection or profiling</w:t>
      </w:r>
    </w:p>
    <w:p>
      <w:pPr>
        <w:pStyle w:val="ListParagraph"/>
        <w:numPr>
          <w:ilvl w:val="0"/>
          <w:numId w:val="3"/>
        </w:numPr>
        <w:spacing w:after="60" w:before="40"/>
        <w:ind w:left="720" w:hanging="360"/>
      </w:pPr>
      <w:r>
        <w:rPr>
          <w:rFonts w:ascii="Arial" w:cs="Arial" w:eastAsia="Arial" w:hAnsi="Arial"/>
          <w:sz w:val="22"/>
          <w:szCs w:val="22"/>
        </w:rPr>
        <w:t xml:space="preserve">Predictive AI or demand forecasting</w:t>
      </w:r>
    </w:p>
    <w:p>
      <w:pPr>
        <w:pStyle w:val="ListParagraph"/>
        <w:numPr>
          <w:ilvl w:val="0"/>
          <w:numId w:val="3"/>
        </w:numPr>
        <w:spacing w:after="60" w:before="40"/>
        <w:ind w:left="720" w:hanging="360"/>
      </w:pPr>
      <w:r>
        <w:rPr>
          <w:rFonts w:ascii="Arial" w:cs="Arial" w:eastAsia="Arial" w:hAnsi="Arial"/>
          <w:sz w:val="22"/>
          <w:szCs w:val="22"/>
        </w:rPr>
        <w:t xml:space="preserve">Integration with factories, restaurants, or commercial food supply chains</w:t>
      </w:r>
    </w:p>
    <w:p>
      <w:pPr>
        <w:pStyle w:val="ListParagraph"/>
        <w:numPr>
          <w:ilvl w:val="0"/>
          <w:numId w:val="3"/>
        </w:numPr>
        <w:spacing w:after="60" w:before="40"/>
        <w:ind w:left="720" w:hanging="360"/>
      </w:pPr>
      <w:r>
        <w:rPr>
          <w:rFonts w:ascii="Arial" w:cs="Arial" w:eastAsia="Arial" w:hAnsi="Arial"/>
          <w:sz w:val="22"/>
          <w:szCs w:val="22"/>
        </w:rPr>
        <w:t xml:space="preserve">Payment processing or financial accounting</w:t>
      </w:r>
    </w:p>
    <w:p>
      <w:pPr>
        <w:spacing w:after="80" w:before="80"/>
      </w:pPr>
      <w:r>
        <w:t xml:space="preserve"/>
      </w:r>
    </w:p>
    <w:p>
      <w:pPr>
        <w:spacing w:after="100" w:before="80"/>
      </w:pPr>
      <w:r>
        <w:rPr>
          <w:rFonts w:ascii="Arial" w:cs="Arial" w:eastAsia="Arial" w:hAnsi="Arial"/>
          <w:sz w:val="22"/>
          <w:szCs w:val="22"/>
        </w:rPr>
        <w:t xml:space="preserve">This bounded scope ensures that ANGAY serves as a </w:t>
      </w:r>
      <w:r>
        <w:rPr>
          <w:rFonts w:ascii="Arial" w:cs="Arial" w:eastAsia="Arial" w:hAnsi="Arial"/>
          <w:b/>
          <w:bCs/>
          <w:sz w:val="22"/>
          <w:szCs w:val="22"/>
        </w:rPr>
        <w:t xml:space="preserve">coordination and documentation platform</w:t>
      </w:r>
      <w:r>
        <w:rPr>
          <w:rFonts w:ascii="Arial" w:cs="Arial" w:eastAsia="Arial" w:hAnsi="Arial"/>
          <w:sz w:val="22"/>
          <w:szCs w:val="22"/>
        </w:rPr>
        <w:t xml:space="preserve"> — lightweight enough for adoption at the barangay level, yet structured enough to meaningfully improve the equity, transparency, and needs-responsiveness of food assistance allocation in the Philippine local governance context.</w:t>
      </w:r>
    </w:p>
    <w:p>
      <w:pPr>
        <w:spacing w:after="80" w:before="80"/>
      </w:pPr>
      <w:r>
        <w:t xml:space="preserve"/>
      </w:r>
    </w:p>
    <w:p>
      <w:pPr>
        <w:pBdr>
          <w:bottom w:val="single" w:color="BDD7EE" w:sz="4" w:space="1"/>
        </w:pBdr>
        <w:spacing w:after="120" w:before="120"/>
      </w:pPr>
      <w:r>
        <w:t xml:space="preserve"/>
      </w:r>
    </w:p>
    <w:p>
      <w:r>
        <w:br w:type="page"/>
      </w:r>
    </w:p>
    <w:p>
      <w:pPr>
        <w:pStyle w:val="Heading1"/>
        <w:pBdr>
          <w:bottom w:val="single" w:color="2E75B6" w:sz="8" w:space="4"/>
        </w:pBdr>
        <w:spacing w:after="200" w:before="360"/>
      </w:pPr>
      <w:r>
        <w:rPr>
          <w:rFonts w:ascii="Arial" w:cs="Arial" w:eastAsia="Arial" w:hAnsi="Arial"/>
          <w:b/>
          <w:bCs/>
          <w:color w:val="1F4E79"/>
          <w:sz w:val="32"/>
          <w:szCs w:val="32"/>
        </w:rPr>
        <w:t xml:space="preserve">References</w:t>
      </w:r>
    </w:p>
    <w:p>
      <w:pPr>
        <w:spacing w:after="80" w:before="80"/>
      </w:pPr>
      <w:r>
        <w:t xml:space="preserve"/>
      </w:r>
    </w:p>
    <w:p>
      <w:pPr>
        <w:spacing w:after="100" w:before="80"/>
      </w:pPr>
      <w:r>
        <w:rPr>
          <w:rFonts w:ascii="Arial" w:cs="Arial" w:eastAsia="Arial" w:hAnsi="Arial"/>
          <w:b/>
          <w:bCs/>
          <w:sz w:val="22"/>
          <w:szCs w:val="22"/>
        </w:rPr>
        <w:t xml:space="preserve">[1]</w:t>
      </w:r>
      <w:r>
        <w:rPr>
          <w:rFonts w:ascii="Arial" w:cs="Arial" w:eastAsia="Arial" w:hAnsi="Arial"/>
          <w:sz w:val="22"/>
          <w:szCs w:val="22"/>
        </w:rPr>
        <w:t xml:space="preserve"> Philippine Statistics Authority (PSA). (2024). </w:t>
      </w:r>
      <w:r>
        <w:rPr>
          <w:rFonts w:ascii="Arial" w:cs="Arial" w:eastAsia="Arial" w:hAnsi="Arial"/>
          <w:i/>
          <w:iCs/>
          <w:sz w:val="22"/>
          <w:szCs w:val="22"/>
        </w:rPr>
        <w:t xml:space="preserve">2023 Full Year Official Poverty Statistics of the Philippines</w:t>
      </w:r>
      <w:r>
        <w:rPr>
          <w:rFonts w:ascii="Arial" w:cs="Arial" w:eastAsia="Arial" w:hAnsi="Arial"/>
          <w:sz w:val="22"/>
          <w:szCs w:val="22"/>
        </w:rPr>
        <w:t xml:space="preserve">. Philippine Statistics Authority. Retrieved from https://psa.gov.ph/content/percentage-filipino-families-classified-poor-declined-109-percent-2023</w:t>
      </w:r>
    </w:p>
    <w:p>
      <w:pPr>
        <w:spacing w:after="80" w:before="80"/>
      </w:pPr>
      <w:r>
        <w:t xml:space="preserve"/>
      </w:r>
    </w:p>
    <w:p>
      <w:pPr>
        <w:spacing w:after="100" w:before="80"/>
      </w:pPr>
      <w:r>
        <w:rPr>
          <w:rFonts w:ascii="Arial" w:cs="Arial" w:eastAsia="Arial" w:hAnsi="Arial"/>
          <w:b/>
          <w:bCs/>
          <w:sz w:val="22"/>
          <w:szCs w:val="22"/>
        </w:rPr>
        <w:t xml:space="preserve">[2]</w:t>
      </w:r>
      <w:r>
        <w:rPr>
          <w:rFonts w:ascii="Arial" w:cs="Arial" w:eastAsia="Arial" w:hAnsi="Arial"/>
          <w:sz w:val="22"/>
          <w:szCs w:val="22"/>
        </w:rPr>
        <w:t xml:space="preserve"> Rivera, A. K. B., Bullecer, E. R., Rama, R. L. C. M., &amp; Malimban, R. C. (2023). Food and nutrition security in the Philippines during the COVID-19 pandemic. </w:t>
      </w:r>
      <w:r>
        <w:rPr>
          <w:rFonts w:ascii="Arial" w:cs="Arial" w:eastAsia="Arial" w:hAnsi="Arial"/>
          <w:i/>
          <w:iCs/>
          <w:sz w:val="22"/>
          <w:szCs w:val="22"/>
        </w:rPr>
        <w:t xml:space="preserve">Journal of Rural Medicine</w:t>
      </w:r>
      <w:r>
        <w:rPr>
          <w:rFonts w:ascii="Arial" w:cs="Arial" w:eastAsia="Arial" w:hAnsi="Arial"/>
          <w:sz w:val="22"/>
          <w:szCs w:val="22"/>
        </w:rPr>
        <w:t xml:space="preserve">, </w:t>
      </w:r>
      <w:r>
        <w:rPr>
          <w:rFonts w:ascii="Arial" w:cs="Arial" w:eastAsia="Arial" w:hAnsi="Arial"/>
          <w:i/>
          <w:iCs/>
          <w:sz w:val="22"/>
          <w:szCs w:val="22"/>
        </w:rPr>
        <w:t xml:space="preserve">18</w:t>
      </w:r>
      <w:r>
        <w:rPr>
          <w:rFonts w:ascii="Arial" w:cs="Arial" w:eastAsia="Arial" w:hAnsi="Arial"/>
          <w:sz w:val="22"/>
          <w:szCs w:val="22"/>
        </w:rPr>
        <w:t xml:space="preserve">(3), 162–167. https://doi.org/10.2185/jrm.2022-049</w:t>
      </w:r>
    </w:p>
    <w:p>
      <w:pPr>
        <w:spacing w:after="80" w:before="80"/>
      </w:pPr>
      <w:r>
        <w:t xml:space="preserve"/>
      </w:r>
    </w:p>
    <w:p>
      <w:pPr>
        <w:spacing w:after="100" w:before="80"/>
      </w:pPr>
      <w:r>
        <w:rPr>
          <w:rFonts w:ascii="Arial" w:cs="Arial" w:eastAsia="Arial" w:hAnsi="Arial"/>
          <w:b/>
          <w:bCs/>
          <w:sz w:val="22"/>
          <w:szCs w:val="22"/>
        </w:rPr>
        <w:t xml:space="preserve">[3]</w:t>
      </w:r>
      <w:r>
        <w:rPr>
          <w:rFonts w:ascii="Arial" w:cs="Arial" w:eastAsia="Arial" w:hAnsi="Arial"/>
          <w:sz w:val="22"/>
          <w:szCs w:val="22"/>
        </w:rPr>
        <w:t xml:space="preserve"> Philippine Statistics Authority (PSA) &amp; ICF. (2023). </w:t>
      </w:r>
      <w:r>
        <w:rPr>
          <w:rFonts w:ascii="Arial" w:cs="Arial" w:eastAsia="Arial" w:hAnsi="Arial"/>
          <w:i/>
          <w:iCs/>
          <w:sz w:val="22"/>
          <w:szCs w:val="22"/>
        </w:rPr>
        <w:t xml:space="preserve">2022 Philippine National Demographic and Health Survey (NDHS): Final Report</w:t>
      </w:r>
      <w:r>
        <w:rPr>
          <w:rFonts w:ascii="Arial" w:cs="Arial" w:eastAsia="Arial" w:hAnsi="Arial"/>
          <w:sz w:val="22"/>
          <w:szCs w:val="22"/>
        </w:rPr>
        <w:t xml:space="preserve">. PSA and ICF. Retrieved from https://www.dhsprogram.com/pubs/pdf/FR381/FR381.pdf</w:t>
      </w:r>
    </w:p>
    <w:p>
      <w:pPr>
        <w:spacing w:after="80" w:before="80"/>
      </w:pPr>
      <w:r>
        <w:t xml:space="preserve"/>
      </w:r>
    </w:p>
    <w:p>
      <w:pPr>
        <w:spacing w:after="100" w:before="80"/>
      </w:pPr>
      <w:r>
        <w:rPr>
          <w:rFonts w:ascii="Arial" w:cs="Arial" w:eastAsia="Arial" w:hAnsi="Arial"/>
          <w:b/>
          <w:bCs/>
          <w:sz w:val="22"/>
          <w:szCs w:val="22"/>
        </w:rPr>
        <w:t xml:space="preserve">[4]</w:t>
      </w:r>
      <w:r>
        <w:rPr>
          <w:rFonts w:ascii="Arial" w:cs="Arial" w:eastAsia="Arial" w:hAnsi="Arial"/>
          <w:sz w:val="22"/>
          <w:szCs w:val="22"/>
        </w:rPr>
        <w:t xml:space="preserve"> Golloso-Gubat, M. J., Felix, A. d. R., Tandang, N. A., Acuin, C. C. S., Gordoncillo, P. U., &amp; Duante, C. A. (2024). Sustainability of the Philippine food system. </w:t>
      </w:r>
      <w:r>
        <w:rPr>
          <w:rFonts w:ascii="Arial" w:cs="Arial" w:eastAsia="Arial" w:hAnsi="Arial"/>
          <w:i/>
          <w:iCs/>
          <w:sz w:val="22"/>
          <w:szCs w:val="22"/>
        </w:rPr>
        <w:t xml:space="preserve">Frontiers in Sustainable Food Systems</w:t>
      </w:r>
      <w:r>
        <w:rPr>
          <w:rFonts w:ascii="Arial" w:cs="Arial" w:eastAsia="Arial" w:hAnsi="Arial"/>
          <w:sz w:val="22"/>
          <w:szCs w:val="22"/>
        </w:rPr>
        <w:t xml:space="preserve">, </w:t>
      </w:r>
      <w:r>
        <w:rPr>
          <w:rFonts w:ascii="Arial" w:cs="Arial" w:eastAsia="Arial" w:hAnsi="Arial"/>
          <w:i/>
          <w:iCs/>
          <w:sz w:val="22"/>
          <w:szCs w:val="22"/>
        </w:rPr>
        <w:t xml:space="preserve">8</w:t>
      </w:r>
      <w:r>
        <w:rPr>
          <w:rFonts w:ascii="Arial" w:cs="Arial" w:eastAsia="Arial" w:hAnsi="Arial"/>
          <w:sz w:val="22"/>
          <w:szCs w:val="22"/>
        </w:rPr>
        <w:t xml:space="preserve">, Article 1278891. https://doi.org/10.3389/fsufs.2024.1278891</w:t>
      </w:r>
    </w:p>
    <w:p>
      <w:pPr>
        <w:spacing w:after="80" w:before="80"/>
      </w:pPr>
      <w:r>
        <w:t xml:space="preserve"/>
      </w:r>
    </w:p>
    <w:p>
      <w:pPr>
        <w:spacing w:after="100" w:before="80"/>
      </w:pPr>
      <w:r>
        <w:rPr>
          <w:rFonts w:ascii="Arial" w:cs="Arial" w:eastAsia="Arial" w:hAnsi="Arial"/>
          <w:b/>
          <w:bCs/>
          <w:sz w:val="22"/>
          <w:szCs w:val="22"/>
        </w:rPr>
        <w:t xml:space="preserve">[5]</w:t>
      </w:r>
      <w:r>
        <w:rPr>
          <w:rFonts w:ascii="Arial" w:cs="Arial" w:eastAsia="Arial" w:hAnsi="Arial"/>
          <w:sz w:val="22"/>
          <w:szCs w:val="22"/>
        </w:rPr>
        <w:t xml:space="preserve"> Rivera, A. F., Smith, N. R., &amp; Ruiz, A. (2023). A systematic literature review of food banks' supply chain operations with a focus on optimization models. </w:t>
      </w:r>
      <w:r>
        <w:rPr>
          <w:rFonts w:ascii="Arial" w:cs="Arial" w:eastAsia="Arial" w:hAnsi="Arial"/>
          <w:i/>
          <w:iCs/>
          <w:sz w:val="22"/>
          <w:szCs w:val="22"/>
        </w:rPr>
        <w:t xml:space="preserve">Journal of Humanitarian Logistics and Supply Chain Management</w:t>
      </w:r>
      <w:r>
        <w:rPr>
          <w:rFonts w:ascii="Arial" w:cs="Arial" w:eastAsia="Arial" w:hAnsi="Arial"/>
          <w:sz w:val="22"/>
          <w:szCs w:val="22"/>
        </w:rPr>
        <w:t xml:space="preserve">, </w:t>
      </w:r>
      <w:r>
        <w:rPr>
          <w:rFonts w:ascii="Arial" w:cs="Arial" w:eastAsia="Arial" w:hAnsi="Arial"/>
          <w:i/>
          <w:iCs/>
          <w:sz w:val="22"/>
          <w:szCs w:val="22"/>
        </w:rPr>
        <w:t xml:space="preserve">13</w:t>
      </w:r>
      <w:r>
        <w:rPr>
          <w:rFonts w:ascii="Arial" w:cs="Arial" w:eastAsia="Arial" w:hAnsi="Arial"/>
          <w:sz w:val="22"/>
          <w:szCs w:val="22"/>
        </w:rPr>
        <w:t xml:space="preserve">(1), 10–25. https://doi.org/10.1108/JHLSCM-09-2021-0087</w:t>
      </w:r>
    </w:p>
    <w:p>
      <w:pPr>
        <w:spacing w:after="80" w:before="80"/>
      </w:pPr>
      <w:r>
        <w:t xml:space="preserve"/>
      </w:r>
    </w:p>
    <w:p>
      <w:pPr>
        <w:spacing w:after="100" w:before="80"/>
      </w:pPr>
      <w:r>
        <w:rPr>
          <w:rFonts w:ascii="Arial" w:cs="Arial" w:eastAsia="Arial" w:hAnsi="Arial"/>
          <w:b/>
          <w:bCs/>
          <w:sz w:val="22"/>
          <w:szCs w:val="22"/>
        </w:rPr>
        <w:t xml:space="preserve">[6]</w:t>
      </w:r>
      <w:r>
        <w:rPr>
          <w:rFonts w:ascii="Arial" w:cs="Arial" w:eastAsia="Arial" w:hAnsi="Arial"/>
          <w:sz w:val="22"/>
          <w:szCs w:val="22"/>
        </w:rPr>
        <w:t xml:space="preserve"> Department of Social Welfare and Development (DSWD). (2024). </w:t>
      </w:r>
      <w:r>
        <w:rPr>
          <w:rFonts w:ascii="Arial" w:cs="Arial" w:eastAsia="Arial" w:hAnsi="Arial"/>
          <w:i/>
          <w:iCs/>
          <w:sz w:val="22"/>
          <w:szCs w:val="22"/>
        </w:rPr>
        <w:t xml:space="preserve">DSWD FY 2024 General Appropriations Act Budget</w:t>
      </w:r>
      <w:r>
        <w:rPr>
          <w:rFonts w:ascii="Arial" w:cs="Arial" w:eastAsia="Arial" w:hAnsi="Arial"/>
          <w:sz w:val="22"/>
          <w:szCs w:val="22"/>
        </w:rPr>
        <w:t xml:space="preserve">. Republic of the Philippines. Retrieved from https://transparency.dswd.gov.ph/wp-content/uploads/2024/07/DSWD-GAA-2024-Budget.pdf</w:t>
      </w:r>
    </w:p>
    <w:p>
      <w:pPr>
        <w:spacing w:after="80" w:before="80"/>
      </w:pPr>
      <w:r>
        <w:t xml:space="preserve"/>
      </w:r>
    </w:p>
    <w:p>
      <w:pPr>
        <w:spacing w:after="100" w:before="80"/>
      </w:pPr>
      <w:r>
        <w:rPr>
          <w:rFonts w:ascii="Arial" w:cs="Arial" w:eastAsia="Arial" w:hAnsi="Arial"/>
          <w:b/>
          <w:bCs/>
          <w:sz w:val="22"/>
          <w:szCs w:val="22"/>
        </w:rPr>
        <w:t xml:space="preserve">[7]</w:t>
      </w:r>
      <w:r>
        <w:rPr>
          <w:rFonts w:ascii="Arial" w:cs="Arial" w:eastAsia="Arial" w:hAnsi="Arial"/>
          <w:sz w:val="22"/>
          <w:szCs w:val="22"/>
        </w:rPr>
        <w:t xml:space="preserve"> Martin, N. M., Poirier, L., Sundermeir, S. M., Gittelsohn, J., Barnett, D. J., &amp; Labrique, A. B. (2022). Moving food assistance into the digital age: A scoping review. </w:t>
      </w:r>
      <w:r>
        <w:rPr>
          <w:rFonts w:ascii="Arial" w:cs="Arial" w:eastAsia="Arial" w:hAnsi="Arial"/>
          <w:i/>
          <w:iCs/>
          <w:sz w:val="22"/>
          <w:szCs w:val="22"/>
        </w:rPr>
        <w:t xml:space="preserve">International Journal of Environmental Research and Public Health</w:t>
      </w:r>
      <w:r>
        <w:rPr>
          <w:rFonts w:ascii="Arial" w:cs="Arial" w:eastAsia="Arial" w:hAnsi="Arial"/>
          <w:sz w:val="22"/>
          <w:szCs w:val="22"/>
        </w:rPr>
        <w:t xml:space="preserve">, </w:t>
      </w:r>
      <w:r>
        <w:rPr>
          <w:rFonts w:ascii="Arial" w:cs="Arial" w:eastAsia="Arial" w:hAnsi="Arial"/>
          <w:i/>
          <w:iCs/>
          <w:sz w:val="22"/>
          <w:szCs w:val="22"/>
        </w:rPr>
        <w:t xml:space="preserve">19</w:t>
      </w:r>
      <w:r>
        <w:rPr>
          <w:rFonts w:ascii="Arial" w:cs="Arial" w:eastAsia="Arial" w:hAnsi="Arial"/>
          <w:sz w:val="22"/>
          <w:szCs w:val="22"/>
        </w:rPr>
        <w:t xml:space="preserve">(3), Article 1328. https://doi.org/10.3390/ijerph19031328</w:t>
      </w:r>
    </w:p>
    <w:p>
      <w:pPr>
        <w:spacing w:after="80" w:before="80"/>
      </w:pPr>
      <w:r>
        <w:t xml:space="preserve"/>
      </w:r>
    </w:p>
    <w:p>
      <w:pPr>
        <w:spacing w:after="100" w:before="80"/>
      </w:pPr>
      <w:r>
        <w:rPr>
          <w:rFonts w:ascii="Arial" w:cs="Arial" w:eastAsia="Arial" w:hAnsi="Arial"/>
          <w:b/>
          <w:bCs/>
          <w:sz w:val="22"/>
          <w:szCs w:val="22"/>
        </w:rPr>
        <w:t xml:space="preserve">[8]</w:t>
      </w:r>
      <w:r>
        <w:rPr>
          <w:rFonts w:ascii="Arial" w:cs="Arial" w:eastAsia="Arial" w:hAnsi="Arial"/>
          <w:sz w:val="22"/>
          <w:szCs w:val="22"/>
        </w:rPr>
        <w:t xml:space="preserve"> United Nations Department of Economic and Social Affairs (UN DESA). (2024). </w:t>
      </w:r>
      <w:r>
        <w:rPr>
          <w:rFonts w:ascii="Arial" w:cs="Arial" w:eastAsia="Arial" w:hAnsi="Arial"/>
          <w:i/>
          <w:iCs/>
          <w:sz w:val="22"/>
          <w:szCs w:val="22"/>
        </w:rPr>
        <w:t xml:space="preserve">E-Government Survey 2024: Accelerating Digital Transformation for Sustainable Development</w:t>
      </w:r>
      <w:r>
        <w:rPr>
          <w:rFonts w:ascii="Arial" w:cs="Arial" w:eastAsia="Arial" w:hAnsi="Arial"/>
          <w:sz w:val="22"/>
          <w:szCs w:val="22"/>
        </w:rPr>
        <w:t xml:space="preserve">. United Nations. Retrieved from https://desapublications.un.org/sites/default/files/publications/2024-09/(Web%20version)%20E-Government%20Survey%202024%201392024.pdf</w:t>
      </w:r>
    </w:p>
    <w:p>
      <w:pPr>
        <w:spacing w:after="80" w:before="80"/>
      </w:pPr>
      <w:r>
        <w:t xml:space="preserve"/>
      </w:r>
    </w:p>
    <w:p>
      <w:pPr>
        <w:spacing w:after="100" w:before="80"/>
      </w:pPr>
      <w:r>
        <w:rPr>
          <w:rFonts w:ascii="Arial" w:cs="Arial" w:eastAsia="Arial" w:hAnsi="Arial"/>
          <w:b/>
          <w:bCs/>
          <w:sz w:val="22"/>
          <w:szCs w:val="22"/>
        </w:rPr>
        <w:t xml:space="preserve">[9]</w:t>
      </w:r>
      <w:r>
        <w:rPr>
          <w:rFonts w:ascii="Arial" w:cs="Arial" w:eastAsia="Arial" w:hAnsi="Arial"/>
          <w:sz w:val="22"/>
          <w:szCs w:val="22"/>
        </w:rPr>
        <w:t xml:space="preserve"> Food and Agriculture Organization (FAO), International Fund for Agricultural Development (IFAD), United Nations Children's Fund (UNICEF), World Food Programme (WFP), &amp; World Health Organization (WHO). (2023). </w:t>
      </w:r>
      <w:r>
        <w:rPr>
          <w:rFonts w:ascii="Arial" w:cs="Arial" w:eastAsia="Arial" w:hAnsi="Arial"/>
          <w:i/>
          <w:iCs/>
          <w:sz w:val="22"/>
          <w:szCs w:val="22"/>
        </w:rPr>
        <w:t xml:space="preserve">The State of Food Security and Nutrition in the World 2023: Urbanization, Agrifood Systems Transformation and Healthy Diets across the Rural–Urban Continuum</w:t>
      </w:r>
      <w:r>
        <w:rPr>
          <w:rFonts w:ascii="Arial" w:cs="Arial" w:eastAsia="Arial" w:hAnsi="Arial"/>
          <w:sz w:val="22"/>
          <w:szCs w:val="22"/>
        </w:rPr>
        <w:t xml:space="preserve">. FAO. https://doi.org/10.4060/cc3017en</w:t>
      </w:r>
    </w:p>
    <w:p>
      <w:pPr>
        <w:spacing w:after="80" w:before="80"/>
      </w:pPr>
      <w:r>
        <w:t xml:space="preserve"/>
      </w:r>
    </w:p>
    <w:p>
      <w:pPr>
        <w:pBdr>
          <w:bottom w:val="single" w:color="BDD7EE" w:sz="4" w:space="1"/>
        </w:pBdr>
        <w:spacing w:after="120" w:before="120"/>
      </w:pPr>
      <w:r>
        <w:t xml:space="preserve"/>
      </w:r>
    </w:p>
    <w:p>
      <w:pPr>
        <w:spacing w:after="80" w:before="80"/>
      </w:pPr>
      <w:r>
        <w:rPr>
          <w:rFonts w:ascii="Arial" w:cs="Arial" w:eastAsia="Arial" w:hAnsi="Arial"/>
          <w:i/>
          <w:iCs/>
          <w:sz w:val="22"/>
          <w:szCs w:val="22"/>
        </w:rPr>
        <w:t xml:space="preserve">Note: All references in this document were identified through targeted database searches and verified for publication year (2022–2026), author attribution, and DOI resolution prior to inclusion. References marked with institutional URLs (PSA, DSWD, UN DESA) are official government or intergovernmental reports with publicly accessible full texts.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448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2026-03-19T06:51:26.593Z</dcterms:created>
  <dcterms:modified xsi:type="dcterms:W3CDTF">2026-03-19T06:51:26.594Z</dcterms:modified>
</cp:coreProperties>
</file>

<file path=docProps/custom.xml><?xml version="1.0" encoding="utf-8"?>
<Properties xmlns="http://schemas.openxmlformats.org/officeDocument/2006/custom-properties" xmlns:vt="http://schemas.openxmlformats.org/officeDocument/2006/docPropsVTypes"/>
</file>