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Arial" w:cs="Arial" w:eastAsia="Arial" w:hAnsi="Arial"/>
          <w:b/>
          <w:bCs/>
          <w:color w:val="C9A84C"/>
          <w:sz w:val="72"/>
          <w:szCs w:val="72"/>
        </w:rPr>
        <w:t xml:space="preserve">Spinative</w:t>
      </w:r>
    </w:p>
    <w:p>
      <w:pPr>
        <w:spacing w:after="120" w:before="0"/>
      </w:pPr>
      <w:r>
        <w:rPr>
          <w:rFonts w:ascii="Arial" w:cs="Arial" w:eastAsia="Arial" w:hAnsi="Arial"/>
          <w:color w:val="1A1A2E"/>
          <w:sz w:val="40"/>
          <w:szCs w:val="40"/>
        </w:rPr>
        <w:t xml:space="preserve">Pricing Strategy &amp; Revenue Model</w:t>
      </w:r>
    </w:p>
    <w:p>
      <w:pPr>
        <w:spacing w:after="600" w:before="0"/>
      </w:pPr>
      <w:r>
        <w:rPr>
          <w:rFonts w:ascii="Arial" w:cs="Arial" w:eastAsia="Arial" w:hAnsi="Arial"/>
          <w:i/>
          <w:iCs/>
          <w:color w:val="7F8C8D"/>
          <w:sz w:val="28"/>
          <w:szCs w:val="28"/>
        </w:rPr>
        <w:t xml:space="preserve">Per-Seat SaaS — iGaming Studio Tools</w:t>
      </w:r>
    </w:p>
    <w:p>
      <w:pPr>
        <w:pBdr>
          <w:bottom w:val="single" w:color="C9A84C" w:sz="4" w:space="1"/>
        </w:pBdr>
        <w:spacing w:after="160" w:before="160"/>
      </w:pPr>
      <w:r>
        <w:t xml:space="preserve"/>
      </w:r>
    </w:p>
    <w:p>
      <w:pPr>
        <w:spacing w:after="80" w:before="300"/>
      </w:pPr>
      <w:r>
        <w:rPr>
          <w:rFonts w:ascii="Arial" w:cs="Arial" w:eastAsia="Arial" w:hAnsi="Arial"/>
          <w:color w:val="7F8C8D"/>
          <w:sz w:val="22"/>
          <w:szCs w:val="22"/>
        </w:rPr>
        <w:t xml:space="preserve">Prepared by  </w:t>
      </w:r>
      <w:r>
        <w:rPr>
          <w:rFonts w:ascii="Arial" w:cs="Arial" w:eastAsia="Arial" w:hAnsi="Arial"/>
          <w:b/>
          <w:bCs/>
          <w:color w:val="1A1A2E"/>
          <w:sz w:val="22"/>
          <w:szCs w:val="22"/>
        </w:rPr>
        <w:t xml:space="preserve">Ignacio Candel, Art Director &amp; Founder</w:t>
      </w:r>
    </w:p>
    <w:p>
      <w:pPr>
        <w:spacing w:after="80" w:before="0"/>
      </w:pPr>
      <w:r>
        <w:rPr>
          <w:rFonts w:ascii="Arial" w:cs="Arial" w:eastAsia="Arial" w:hAnsi="Arial"/>
          <w:color w:val="7F8C8D"/>
          <w:sz w:val="22"/>
          <w:szCs w:val="22"/>
        </w:rPr>
        <w:t xml:space="preserve">Date  </w:t>
      </w:r>
      <w:r>
        <w:rPr>
          <w:rFonts w:ascii="Arial" w:cs="Arial" w:eastAsia="Arial" w:hAnsi="Arial"/>
          <w:b/>
          <w:bCs/>
          <w:color w:val="1A1A2E"/>
          <w:sz w:val="22"/>
          <w:szCs w:val="22"/>
        </w:rPr>
        <w:t xml:space="preserve">April 2026</w:t>
      </w:r>
    </w:p>
    <w:p>
      <w:pPr>
        <w:spacing w:after="2000" w:before="0"/>
      </w:pPr>
      <w:r>
        <w:rPr>
          <w:rFonts w:ascii="Arial" w:cs="Arial" w:eastAsia="Arial" w:hAnsi="Arial"/>
          <w:color w:val="7F8C8D"/>
          <w:sz w:val="22"/>
          <w:szCs w:val="22"/>
        </w:rPr>
        <w:t xml:space="preserve">Status  </w:t>
      </w:r>
      <w:r>
        <w:rPr>
          <w:rFonts w:ascii="Arial" w:cs="Arial" w:eastAsia="Arial" w:hAnsi="Arial"/>
          <w:b/>
          <w:bCs/>
          <w:color w:val="E74C3C"/>
          <w:sz w:val="22"/>
          <w:szCs w:val="22"/>
        </w:rPr>
        <w:t xml:space="preserve">Internal — Confidential</w:t>
      </w:r>
    </w:p>
    <w:p>
      <w:r>
        <w:br w:type="page"/>
      </w:r>
    </w:p>
    <w:p>
      <w:pPr>
        <w:pStyle w:val="Heading1"/>
        <w:spacing w:after="200" w:before="400"/>
      </w:pPr>
      <w:r>
        <w:rPr>
          <w:rFonts w:ascii="Arial" w:cs="Arial" w:eastAsia="Arial" w:hAnsi="Arial"/>
          <w:b/>
          <w:bCs/>
          <w:color w:val="1A1A2E"/>
          <w:sz w:val="36"/>
          <w:szCs w:val="36"/>
        </w:rPr>
        <w:t xml:space="preserve">1. Executive Summary</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Spinative is a B2B SaaS platform purpose-built for slot game studios — the teams of art directors, designers, and producers responsible for turning a Game Design Document (GDD) into a fully-produced slot game asset pack. The tool automates GDD parsing, canvas layout, AI-assisted image generation, and asset export, dramatically compressing a process that today takes weeks of manual work.</w:t>
      </w:r>
    </w:p>
    <w:p>
      <w:pPr>
        <w:spacing w:after="200" w:before="0"/>
      </w:pPr>
      <w:r>
        <w:rPr>
          <w:rFonts w:ascii="Arial" w:cs="Arial" w:eastAsia="Arial" w:hAnsi="Arial"/>
          <w:b w:val="false"/>
          <w:bCs w:val="false"/>
          <w:i w:val="false"/>
          <w:iCs w:val="false"/>
          <w:color w:val="1A1A2E"/>
          <w:sz w:val="22"/>
          <w:szCs w:val="22"/>
        </w:rPr>
        <w:t xml:space="preserve">This document defines the commercial model, pricing tiers, unit economics, and revenue projections for the platform. The central thesis is simple: the iGaming art production market is fragmented, under-tooled, and staffed by professionals who are already used to paying for design software. Spinative can capture a meaningful share of that market at a price point that feels trivially cheap relative to the value it delivers — while building to a sustainable, high-margin business.</w:t>
      </w:r>
    </w:p>
    <w:p>
      <w:pPr>
        <w:spacing w:after="8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7"/>
        <w:gridCol w:w="2347"/>
      </w:tblGrid>
      <w:tr>
        <w:tc>
          <w:tcPr>
            <w:tcW w:type="dxa" w:w="234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Freelancer Price</w:t>
            </w:r>
          </w:p>
        </w:tc>
        <w:tc>
          <w:tcPr>
            <w:tcW w:type="dxa" w:w="234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Studio Price</w:t>
            </w:r>
          </w:p>
        </w:tc>
        <w:tc>
          <w:tcPr>
            <w:tcW w:type="dxa" w:w="2347"/>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Target Margin</w:t>
            </w:r>
          </w:p>
        </w:tc>
        <w:tc>
          <w:tcPr>
            <w:tcW w:type="dxa" w:w="2347"/>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€1M ARR Target</w:t>
            </w:r>
          </w:p>
        </w:tc>
      </w:tr>
      <w:tr>
        <w:tc>
          <w:tcPr>
            <w:tcW w:type="dxa" w:w="23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€29 / seat / mo</w:t>
            </w:r>
          </w:p>
        </w:tc>
        <w:tc>
          <w:tcPr>
            <w:tcW w:type="dxa" w:w="234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€49 / seat / mo</w:t>
            </w:r>
          </w:p>
        </w:tc>
        <w:tc>
          <w:tcPr>
            <w:tcW w:type="dxa" w:w="234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~72% gross</w:t>
            </w:r>
          </w:p>
        </w:tc>
        <w:tc>
          <w:tcPr>
            <w:tcW w:type="dxa" w:w="234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~1,720 Studio seats</w:t>
            </w:r>
          </w:p>
        </w:tc>
      </w:tr>
    </w:tbl>
    <w:p>
      <w:pPr>
        <w:spacing w:after="80" w:before="80"/>
      </w:pPr>
      <w:r>
        <w:t xml:space="preserve"/>
      </w:r>
    </w:p>
    <w:p>
      <w:pPr>
        <w:spacing w:after="200" w:before="0"/>
      </w:pPr>
      <w:r>
        <w:rPr>
          <w:rFonts w:ascii="Arial" w:cs="Arial" w:eastAsia="Arial" w:hAnsi="Arial"/>
          <w:b w:val="false"/>
          <w:bCs w:val="false"/>
          <w:i/>
          <w:iCs/>
          <w:color w:val="7F8C8D"/>
          <w:sz w:val="22"/>
          <w:szCs w:val="22"/>
        </w:rPr>
        <w:t xml:space="preserve">All prices are net — VAT is applied on top at the applicable rate (21% Spain, reverse charge for EU B2B with valid VAT number, 0% for non-EU customers). The customer pays VAT in addition to the seat price; Spinative receives the net amount in full.</w:t>
      </w:r>
    </w:p>
    <w:p>
      <w:r>
        <w:br w:type="page"/>
      </w:r>
    </w:p>
    <w:p>
      <w:pPr>
        <w:pStyle w:val="Heading1"/>
        <w:spacing w:after="200" w:before="400"/>
      </w:pPr>
      <w:r>
        <w:rPr>
          <w:rFonts w:ascii="Arial" w:cs="Arial" w:eastAsia="Arial" w:hAnsi="Arial"/>
          <w:b/>
          <w:bCs/>
          <w:color w:val="1A1A2E"/>
          <w:sz w:val="36"/>
          <w:szCs w:val="36"/>
        </w:rPr>
        <w:t xml:space="preserve">2. Pricing Model — Per-Seat SaaS</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Spinative follows a per-seat, monthly subscription model — the same commercial pattern used by Figma, Linear, and Notion. Each person who uses the workspace occupies one seat. The billing owner adds seats as the team grows. This aligns revenue directly to usage and scales naturally with studio size.</w:t>
      </w:r>
    </w:p>
    <w:p>
      <w:pPr>
        <w:pStyle w:val="Heading2"/>
        <w:spacing w:after="160" w:before="300"/>
      </w:pPr>
      <w:r>
        <w:rPr>
          <w:rFonts w:ascii="Arial" w:cs="Arial" w:eastAsia="Arial" w:hAnsi="Arial"/>
          <w:b/>
          <w:bCs/>
          <w:color w:val="C9A84C"/>
          <w:sz w:val="28"/>
          <w:szCs w:val="28"/>
        </w:rPr>
        <w:t xml:space="preserve">Why Per-Seat, Not Flat Workspace?</w:t>
      </w:r>
    </w:p>
    <w:p>
      <w:pPr>
        <w:spacing w:after="160" w:before="0"/>
      </w:pPr>
      <w:r>
        <w:rPr>
          <w:rFonts w:ascii="Arial" w:cs="Arial" w:eastAsia="Arial" w:hAnsi="Arial"/>
          <w:b w:val="false"/>
          <w:bCs w:val="false"/>
          <w:i w:val="false"/>
          <w:iCs w:val="false"/>
          <w:color w:val="1A1A2E"/>
          <w:sz w:val="22"/>
          <w:szCs w:val="22"/>
        </w:rPr>
        <w:t xml:space="preserve">A flat workspace fee (e.g., €99/month regardless of team size) immediately runs into an uncomfortable mismatch: a freelancer working solo and a 20-person studio pay the same amount. This either undercharges large studios (leaving money on the table) or overcharges freelancers (limiting adoption at the bottom of the market). Per-seat pricing solves both problems simultaneously.</w:t>
      </w:r>
    </w:p>
    <w:p>
      <w:pPr>
        <w:pStyle w:val="ListParagraph"/>
        <w:numPr>
          <w:ilvl w:val="0"/>
          <w:numId w:val="2"/>
        </w:numPr>
        <w:spacing w:after="40" w:before="40"/>
      </w:pPr>
      <w:r>
        <w:rPr>
          <w:rFonts w:ascii="Arial" w:cs="Arial" w:eastAsia="Arial" w:hAnsi="Arial"/>
          <w:color w:val="222222"/>
          <w:sz w:val="20"/>
          <w:szCs w:val="20"/>
        </w:rPr>
        <w:t xml:space="preserve">Small teams and solo freelancers have a low entry price — no barrier to adoption.</w:t>
      </w:r>
    </w:p>
    <w:p>
      <w:pPr>
        <w:pStyle w:val="ListParagraph"/>
        <w:numPr>
          <w:ilvl w:val="0"/>
          <w:numId w:val="2"/>
        </w:numPr>
        <w:spacing w:after="40" w:before="40"/>
      </w:pPr>
      <w:r>
        <w:rPr>
          <w:rFonts w:ascii="Arial" w:cs="Arial" w:eastAsia="Arial" w:hAnsi="Arial"/>
          <w:color w:val="222222"/>
          <w:sz w:val="20"/>
          <w:szCs w:val="20"/>
        </w:rPr>
        <w:t xml:space="preserve">Growing studios pay proportionally more, matching the value they extract from the tool.</w:t>
      </w:r>
    </w:p>
    <w:p>
      <w:pPr>
        <w:pStyle w:val="ListParagraph"/>
        <w:numPr>
          <w:ilvl w:val="0"/>
          <w:numId w:val="2"/>
        </w:numPr>
        <w:spacing w:after="40" w:before="40"/>
      </w:pPr>
      <w:r>
        <w:rPr>
          <w:rFonts w:ascii="Arial" w:cs="Arial" w:eastAsia="Arial" w:hAnsi="Arial"/>
          <w:color w:val="222222"/>
          <w:sz w:val="20"/>
          <w:szCs w:val="20"/>
        </w:rPr>
        <w:t xml:space="preserve">Revenue grows automatically as studios hire, with no sales motion required.</w:t>
      </w:r>
    </w:p>
    <w:p>
      <w:pPr>
        <w:pStyle w:val="ListParagraph"/>
        <w:numPr>
          <w:ilvl w:val="0"/>
          <w:numId w:val="2"/>
        </w:numPr>
        <w:spacing w:after="40" w:before="40"/>
      </w:pPr>
      <w:r>
        <w:rPr>
          <w:rFonts w:ascii="Arial" w:cs="Arial" w:eastAsia="Arial" w:hAnsi="Arial"/>
          <w:color w:val="222222"/>
          <w:sz w:val="20"/>
          <w:szCs w:val="20"/>
        </w:rPr>
        <w:t xml:space="preserve">The model is familiar — every studio already pays per-seat for Figma, Adobe Creative Cloud, and Slack.</w:t>
      </w:r>
    </w:p>
    <w:p>
      <w:pPr>
        <w:spacing w:after="80" w:before="80"/>
      </w:pPr>
      <w:r>
        <w:t xml:space="preserve"/>
      </w:r>
    </w:p>
    <w:p>
      <w:pPr>
        <w:pStyle w:val="Heading2"/>
        <w:spacing w:after="160" w:before="300"/>
      </w:pPr>
      <w:r>
        <w:rPr>
          <w:rFonts w:ascii="Arial" w:cs="Arial" w:eastAsia="Arial" w:hAnsi="Arial"/>
          <w:b/>
          <w:bCs/>
          <w:color w:val="C9A84C"/>
          <w:sz w:val="28"/>
          <w:szCs w:val="28"/>
        </w:rPr>
        <w:t xml:space="preserve">Tier Structure</w:t>
      </w:r>
    </w:p>
    <w:p>
      <w:pPr>
        <w:spacing w:after="200" w:before="0"/>
      </w:pPr>
      <w:r>
        <w:rPr>
          <w:rFonts w:ascii="Arial" w:cs="Arial" w:eastAsia="Arial" w:hAnsi="Arial"/>
          <w:b w:val="false"/>
          <w:bCs w:val="false"/>
          <w:i w:val="false"/>
          <w:iCs w:val="false"/>
          <w:color w:val="1A1A2E"/>
          <w:sz w:val="22"/>
          <w:szCs w:val="22"/>
        </w:rPr>
        <w:t xml:space="preserve">There are four tiers. The two paid tiers share the same feature set — the only difference is the price, which reflects the type of professional using the seat.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86"/>
      </w:tblGrid>
      <w:tr>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
            </w:r>
          </w:p>
        </w:tc>
        <w:tc>
          <w:tcPr>
            <w:tcW w:type="dxa" w:w="1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Free</w:t>
            </w:r>
          </w:p>
        </w:tc>
        <w:tc>
          <w:tcPr>
            <w:tcW w:type="dxa" w:w="1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Freelancer</w:t>
            </w:r>
          </w:p>
        </w:tc>
        <w:tc>
          <w:tcPr>
            <w:tcW w:type="dxa" w:w="1900"/>
            <w:tcBorders>
              <w:top w:val="single" w:color="DDDDDD" w:sz="1"/>
              <w:left w:val="single" w:color="DDDDDD" w:sz="1"/>
              <w:bottom w:val="single" w:color="DDDDDD" w:sz="1"/>
              <w:right w:val="single" w:color="DDDDDD" w:sz="1"/>
            </w:tcBorders>
            <w:shd w:fill="C9A84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Studio</w:t>
            </w:r>
          </w:p>
        </w:tc>
        <w:tc>
          <w:tcPr>
            <w:tcW w:type="dxa" w:w="198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Enterprise</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Monthly price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€29 / seat</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C9A84C"/>
                <w:sz w:val="20"/>
                <w:szCs w:val="20"/>
              </w:rPr>
              <w:t xml:space="preserve">€49 / seat</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Custom</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 user</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7F8C8D"/>
                <w:sz w:val="20"/>
                <w:szCs w:val="20"/>
              </w:rPr>
              <w:t xml:space="preserve">Trying the tool</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Solo or indie designer</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Studio team member</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Large operator / group</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Projects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Unlimited</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Unlimited</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Unlimited</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AI image credits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0</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 / seat / mo</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100 / seat / mo</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Volume pricing</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GDD parsing</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Canvas editor</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 (limited)</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Full</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Full</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Full</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Asset export</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Team workspace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7F8C8D"/>
                <w:sz w:val="20"/>
                <w:szCs w:val="20"/>
              </w:rPr>
              <w:t xml:space="preserve">Solo only</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7F8C8D"/>
                <w:sz w:val="20"/>
                <w:szCs w:val="20"/>
              </w:rPr>
              <w:t xml:space="preserve">Solo only</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Multi-seat</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Multi-seat</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Priority support</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Email</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Email + Chat</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Dedicated CSM</w:t>
            </w:r>
          </w:p>
        </w:tc>
      </w:tr>
      <w:tr>
        <w:tc>
          <w:tcPr>
            <w:tcW w:type="dxa" w:w="17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Custom branding</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w:t>
            </w:r>
          </w:p>
        </w:tc>
        <w:tc>
          <w:tcPr>
            <w:tcW w:type="dxa" w:w="19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27AE60"/>
                <w:sz w:val="20"/>
                <w:szCs w:val="20"/>
              </w:rPr>
              <w:t xml:space="preserve">✓ White-label</w:t>
            </w:r>
          </w:p>
        </w:tc>
      </w:tr>
    </w:tbl>
    <w:p>
      <w:pPr>
        <w:spacing w:after="80" w:before="80"/>
      </w:pPr>
      <w:r>
        <w:t xml:space="preserve"/>
      </w:r>
    </w:p>
    <w:p>
      <w:r>
        <w:br w:type="page"/>
      </w:r>
    </w:p>
    <w:p>
      <w:pPr>
        <w:pStyle w:val="Heading1"/>
        <w:spacing w:after="200" w:before="400"/>
      </w:pPr>
      <w:r>
        <w:rPr>
          <w:rFonts w:ascii="Arial" w:cs="Arial" w:eastAsia="Arial" w:hAnsi="Arial"/>
          <w:b/>
          <w:bCs/>
          <w:color w:val="1A1A2E"/>
          <w:sz w:val="36"/>
          <w:szCs w:val="36"/>
        </w:rPr>
        <w:t xml:space="preserve">3. Tier Inclusions — Detailed Breakdown</w:t>
      </w:r>
    </w:p>
    <w:p>
      <w:pPr>
        <w:pBdr>
          <w:bottom w:val="single" w:color="C9A84C" w:sz="4" w:space="1"/>
        </w:pBdr>
        <w:spacing w:after="160" w:before="160"/>
      </w:pPr>
      <w:r>
        <w:t xml:space="preserve"/>
      </w:r>
    </w:p>
    <w:p>
      <w:pPr>
        <w:pStyle w:val="Heading2"/>
        <w:spacing w:after="160" w:before="300"/>
      </w:pPr>
      <w:r>
        <w:rPr>
          <w:rFonts w:ascii="Arial" w:cs="Arial" w:eastAsia="Arial" w:hAnsi="Arial"/>
          <w:b/>
          <w:bCs/>
          <w:color w:val="C9A84C"/>
          <w:sz w:val="28"/>
          <w:szCs w:val="28"/>
        </w:rPr>
        <w:t xml:space="preserve">Free Tier — The Hook</w:t>
      </w:r>
    </w:p>
    <w:p>
      <w:pPr>
        <w:spacing w:after="160" w:before="0"/>
      </w:pPr>
      <w:r>
        <w:rPr>
          <w:rFonts w:ascii="Arial" w:cs="Arial" w:eastAsia="Arial" w:hAnsi="Arial"/>
          <w:b w:val="false"/>
          <w:bCs w:val="false"/>
          <w:i w:val="false"/>
          <w:iCs w:val="false"/>
          <w:color w:val="1A1A2E"/>
          <w:sz w:val="22"/>
          <w:szCs w:val="22"/>
        </w:rPr>
        <w:t xml:space="preserve">The Free tier exists for one reason: to let prospects experience the tool before spending money. It is deliberately constrained to drive conversion, not to serve as a permanent home for power users.</w:t>
      </w:r>
    </w:p>
    <w:p>
      <w:pPr>
        <w:pStyle w:val="ListParagraph"/>
        <w:numPr>
          <w:ilvl w:val="0"/>
          <w:numId w:val="2"/>
        </w:numPr>
        <w:spacing w:after="40" w:before="40"/>
      </w:pPr>
      <w:r>
        <w:rPr>
          <w:rFonts w:ascii="Arial" w:cs="Arial" w:eastAsia="Arial" w:hAnsi="Arial"/>
          <w:color w:val="222222"/>
          <w:sz w:val="20"/>
          <w:szCs w:val="20"/>
        </w:rPr>
        <w:t xml:space="preserve">Up to 2 active projects in the workspace.</w:t>
      </w:r>
    </w:p>
    <w:p>
      <w:pPr>
        <w:pStyle w:val="ListParagraph"/>
        <w:numPr>
          <w:ilvl w:val="0"/>
          <w:numId w:val="2"/>
        </w:numPr>
        <w:spacing w:after="40" w:before="40"/>
      </w:pPr>
      <w:r>
        <w:rPr>
          <w:rFonts w:ascii="Arial" w:cs="Arial" w:eastAsia="Arial" w:hAnsi="Arial"/>
          <w:color w:val="222222"/>
          <w:sz w:val="20"/>
          <w:szCs w:val="20"/>
        </w:rPr>
        <w:t xml:space="preserve">Canvas editor available — elements can be placed, styled, and organised.</w:t>
      </w:r>
    </w:p>
    <w:p>
      <w:pPr>
        <w:pStyle w:val="ListParagraph"/>
        <w:numPr>
          <w:ilvl w:val="0"/>
          <w:numId w:val="2"/>
        </w:numPr>
        <w:spacing w:after="40" w:before="40"/>
      </w:pPr>
      <w:r>
        <w:rPr>
          <w:rFonts w:ascii="Arial" w:cs="Arial" w:eastAsia="Arial" w:hAnsi="Arial"/>
          <w:color w:val="222222"/>
          <w:sz w:val="20"/>
          <w:szCs w:val="20"/>
        </w:rPr>
        <w:t xml:space="preserve">Read-only GDD preview (user can see parsed output but cannot trigger AI generation).</w:t>
      </w:r>
    </w:p>
    <w:p>
      <w:pPr>
        <w:pStyle w:val="ListParagraph"/>
        <w:numPr>
          <w:ilvl w:val="0"/>
          <w:numId w:val="2"/>
        </w:numPr>
        <w:spacing w:after="40" w:before="40"/>
      </w:pPr>
      <w:r>
        <w:rPr>
          <w:rFonts w:ascii="Arial" w:cs="Arial" w:eastAsia="Arial" w:hAnsi="Arial"/>
          <w:color w:val="222222"/>
          <w:sz w:val="20"/>
          <w:szCs w:val="20"/>
        </w:rPr>
        <w:t xml:space="preserve">No AI image generation — the generate button is visible but locked behind an upgrade prompt.</w:t>
      </w:r>
    </w:p>
    <w:p>
      <w:pPr>
        <w:pStyle w:val="ListParagraph"/>
        <w:numPr>
          <w:ilvl w:val="0"/>
          <w:numId w:val="2"/>
        </w:numPr>
        <w:spacing w:after="40" w:before="40"/>
      </w:pPr>
      <w:r>
        <w:rPr>
          <w:rFonts w:ascii="Arial" w:cs="Arial" w:eastAsia="Arial" w:hAnsi="Arial"/>
          <w:color w:val="222222"/>
          <w:sz w:val="20"/>
          <w:szCs w:val="20"/>
        </w:rPr>
        <w:t xml:space="preserve">No asset export — outputs are watermarked or blocked.</w:t>
      </w:r>
    </w:p>
    <w:p>
      <w:pPr>
        <w:pStyle w:val="ListParagraph"/>
        <w:numPr>
          <w:ilvl w:val="0"/>
          <w:numId w:val="2"/>
        </w:numPr>
        <w:spacing w:after="40" w:before="40"/>
      </w:pPr>
      <w:r>
        <w:rPr>
          <w:rFonts w:ascii="Arial" w:cs="Arial" w:eastAsia="Arial" w:hAnsi="Arial"/>
          <w:color w:val="222222"/>
          <w:sz w:val="20"/>
          <w:szCs w:val="20"/>
        </w:rPr>
        <w:t xml:space="preserve">1 workspace seat — no collaboration features.</w:t>
      </w:r>
    </w:p>
    <w:p>
      <w:pPr>
        <w:pStyle w:val="ListParagraph"/>
        <w:numPr>
          <w:ilvl w:val="0"/>
          <w:numId w:val="2"/>
        </w:numPr>
        <w:spacing w:after="40" w:before="40"/>
      </w:pPr>
      <w:r>
        <w:rPr>
          <w:rFonts w:ascii="Arial" w:cs="Arial" w:eastAsia="Arial" w:hAnsi="Arial"/>
          <w:color w:val="222222"/>
          <w:sz w:val="20"/>
          <w:szCs w:val="20"/>
        </w:rPr>
        <w:t xml:space="preserve">Community support only (documentation, public Discord).</w:t>
      </w:r>
    </w:p>
    <w:p>
      <w:pPr>
        <w:spacing w:after="160" w:before="0"/>
      </w:pPr>
      <w:r>
        <w:rPr>
          <w:rFonts w:ascii="Arial" w:cs="Arial" w:eastAsia="Arial" w:hAnsi="Arial"/>
          <w:b w:val="false"/>
          <w:bCs w:val="false"/>
          <w:i/>
          <w:iCs/>
          <w:color w:val="7F8C8D"/>
          <w:sz w:val="22"/>
          <w:szCs w:val="22"/>
        </w:rPr>
        <w:t xml:space="preserve">The intent is that within one or two sessions, a prospect has seen enough value to justify €29/month. The Free tier converts, it does not retain.</w:t>
      </w:r>
    </w:p>
    <w:p>
      <w:pPr>
        <w:pStyle w:val="Heading2"/>
        <w:spacing w:after="160" w:before="300"/>
      </w:pPr>
      <w:r>
        <w:rPr>
          <w:rFonts w:ascii="Arial" w:cs="Arial" w:eastAsia="Arial" w:hAnsi="Arial"/>
          <w:b/>
          <w:bCs/>
          <w:color w:val="C9A84C"/>
          <w:sz w:val="28"/>
          <w:szCs w:val="28"/>
        </w:rPr>
        <w:t xml:space="preserve">Freelancer — €29 / Seat / Month</w:t>
      </w:r>
    </w:p>
    <w:p>
      <w:pPr>
        <w:spacing w:after="160" w:before="0"/>
      </w:pPr>
      <w:r>
        <w:rPr>
          <w:rFonts w:ascii="Arial" w:cs="Arial" w:eastAsia="Arial" w:hAnsi="Arial"/>
          <w:b w:val="false"/>
          <w:bCs w:val="false"/>
          <w:i w:val="false"/>
          <w:iCs w:val="false"/>
          <w:color w:val="1A1A2E"/>
          <w:sz w:val="22"/>
          <w:szCs w:val="22"/>
        </w:rPr>
        <w:t xml:space="preserve">The Freelancer tier is designed for independent designers and small indie studios (1–2 people) who work on slot games professionally but do not need multi-user collaboration. This is the entry price for people who are serious about the tool.</w:t>
      </w:r>
    </w:p>
    <w:p>
      <w:pPr>
        <w:pStyle w:val="ListParagraph"/>
        <w:numPr>
          <w:ilvl w:val="0"/>
          <w:numId w:val="2"/>
        </w:numPr>
        <w:spacing w:after="40" w:before="40"/>
      </w:pPr>
      <w:r>
        <w:rPr>
          <w:rFonts w:ascii="Arial" w:cs="Arial" w:eastAsia="Arial" w:hAnsi="Arial"/>
          <w:color w:val="222222"/>
          <w:sz w:val="20"/>
          <w:szCs w:val="20"/>
        </w:rPr>
        <w:t xml:space="preserve">Unlimited projects — no cap on active workspaces.</w:t>
      </w:r>
    </w:p>
    <w:p>
      <w:pPr>
        <w:pStyle w:val="ListParagraph"/>
        <w:numPr>
          <w:ilvl w:val="0"/>
          <w:numId w:val="2"/>
        </w:numPr>
        <w:spacing w:after="40" w:before="40"/>
      </w:pPr>
      <w:r>
        <w:rPr>
          <w:rFonts w:ascii="Arial" w:cs="Arial" w:eastAsia="Arial" w:hAnsi="Arial"/>
          <w:color w:val="222222"/>
          <w:sz w:val="20"/>
          <w:szCs w:val="20"/>
        </w:rPr>
        <w:t xml:space="preserve">Full GDD parsing — upload a PDF or paste a document, Spinative extracts all asset types, symbol tiers, mechanics, and art direction notes automatically.</w:t>
      </w:r>
    </w:p>
    <w:p>
      <w:pPr>
        <w:pStyle w:val="ListParagraph"/>
        <w:numPr>
          <w:ilvl w:val="0"/>
          <w:numId w:val="2"/>
        </w:numPr>
        <w:spacing w:after="40" w:before="40"/>
      </w:pPr>
      <w:r>
        <w:rPr>
          <w:rFonts w:ascii="Arial" w:cs="Arial" w:eastAsia="Arial" w:hAnsi="Arial"/>
          <w:color w:val="222222"/>
          <w:sz w:val="20"/>
          <w:szCs w:val="20"/>
        </w:rPr>
        <w:t xml:space="preserve">Full canvas editor — all element types, drag/resize, layer management, group operations.</w:t>
      </w:r>
    </w:p>
    <w:p>
      <w:pPr>
        <w:pStyle w:val="ListParagraph"/>
        <w:numPr>
          <w:ilvl w:val="0"/>
          <w:numId w:val="2"/>
        </w:numPr>
        <w:spacing w:after="40" w:before="40"/>
      </w:pPr>
      <w:r>
        <w:rPr>
          <w:rFonts w:ascii="Arial" w:cs="Arial" w:eastAsia="Arial" w:hAnsi="Arial"/>
          <w:color w:val="222222"/>
          <w:sz w:val="20"/>
          <w:szCs w:val="20"/>
        </w:rPr>
        <w:t xml:space="preserve">AI image generation — 50 credits per seat per month (each credit = 1 image generated via the AI engine). A full standard slot game with 5 symbol tiers, bonus symbol, scatter, and wild requires approximately 18–22 images. At 50 credits, a Freelancer seat covers 2–3 full games per month.</w:t>
      </w:r>
    </w:p>
    <w:p>
      <w:pPr>
        <w:pStyle w:val="ListParagraph"/>
        <w:numPr>
          <w:ilvl w:val="0"/>
          <w:numId w:val="2"/>
        </w:numPr>
        <w:spacing w:after="40" w:before="40"/>
      </w:pPr>
      <w:r>
        <w:rPr>
          <w:rFonts w:ascii="Arial" w:cs="Arial" w:eastAsia="Arial" w:hAnsi="Arial"/>
          <w:color w:val="222222"/>
          <w:sz w:val="20"/>
          <w:szCs w:val="20"/>
        </w:rPr>
        <w:t xml:space="preserve">Asset export — all generated assets exportable at production resolution (PNG, layered).</w:t>
      </w:r>
    </w:p>
    <w:p>
      <w:pPr>
        <w:pStyle w:val="ListParagraph"/>
        <w:numPr>
          <w:ilvl w:val="0"/>
          <w:numId w:val="2"/>
        </w:numPr>
        <w:spacing w:after="40" w:before="40"/>
      </w:pPr>
      <w:r>
        <w:rPr>
          <w:rFonts w:ascii="Arial" w:cs="Arial" w:eastAsia="Arial" w:hAnsi="Arial"/>
          <w:color w:val="222222"/>
          <w:sz w:val="20"/>
          <w:szCs w:val="20"/>
        </w:rPr>
        <w:t xml:space="preserve">Style picker — ability to switch the visual style guide (Cartoon, Fantasy, Realistic, etc.) for consistent generation across a game project.</w:t>
      </w:r>
    </w:p>
    <w:p>
      <w:pPr>
        <w:pStyle w:val="ListParagraph"/>
        <w:numPr>
          <w:ilvl w:val="0"/>
          <w:numId w:val="2"/>
        </w:numPr>
        <w:spacing w:after="40" w:before="40"/>
      </w:pPr>
      <w:r>
        <w:rPr>
          <w:rFonts w:ascii="Arial" w:cs="Arial" w:eastAsia="Arial" w:hAnsi="Arial"/>
          <w:color w:val="222222"/>
          <w:sz w:val="20"/>
          <w:szCs w:val="20"/>
        </w:rPr>
        <w:t xml:space="preserve">Single seat — the workspace is private to one user. No team sharing.</w:t>
      </w:r>
    </w:p>
    <w:p>
      <w:pPr>
        <w:pStyle w:val="ListParagraph"/>
        <w:numPr>
          <w:ilvl w:val="0"/>
          <w:numId w:val="2"/>
        </w:numPr>
        <w:spacing w:after="40" w:before="40"/>
      </w:pPr>
      <w:r>
        <w:rPr>
          <w:rFonts w:ascii="Arial" w:cs="Arial" w:eastAsia="Arial" w:hAnsi="Arial"/>
          <w:color w:val="222222"/>
          <w:sz w:val="20"/>
          <w:szCs w:val="20"/>
        </w:rPr>
        <w:t xml:space="preserve">Email support with 48-hour response SLA.</w:t>
      </w:r>
    </w:p>
    <w:p>
      <w:pPr>
        <w:spacing w:after="160" w:before="0"/>
      </w:pPr>
      <w:r>
        <w:rPr>
          <w:rFonts w:ascii="Arial" w:cs="Arial" w:eastAsia="Arial" w:hAnsi="Arial"/>
          <w:b w:val="false"/>
          <w:bCs w:val="false"/>
          <w:i/>
          <w:iCs/>
          <w:color w:val="7F8C8D"/>
          <w:sz w:val="22"/>
          <w:szCs w:val="22"/>
        </w:rPr>
        <w:t xml:space="preserve">This tier is priced at €29 because the target user is typically working as a contractor invoicing studios. €29 is less than an hour of their billable rate. The conversion argument writes itself.</w:t>
      </w:r>
    </w:p>
    <w:p>
      <w:pPr>
        <w:pStyle w:val="Heading2"/>
        <w:spacing w:after="160" w:before="300"/>
      </w:pPr>
      <w:r>
        <w:rPr>
          <w:rFonts w:ascii="Arial" w:cs="Arial" w:eastAsia="Arial" w:hAnsi="Arial"/>
          <w:b/>
          <w:bCs/>
          <w:color w:val="C9A84C"/>
          <w:sz w:val="28"/>
          <w:szCs w:val="28"/>
        </w:rPr>
        <w:t xml:space="preserve">Studio — €49 / Seat / Month</w:t>
      </w:r>
    </w:p>
    <w:p>
      <w:pPr>
        <w:spacing w:after="160" w:before="0"/>
      </w:pPr>
      <w:r>
        <w:rPr>
          <w:rFonts w:ascii="Arial" w:cs="Arial" w:eastAsia="Arial" w:hAnsi="Arial"/>
          <w:b w:val="false"/>
          <w:bCs w:val="false"/>
          <w:i w:val="false"/>
          <w:iCs w:val="false"/>
          <w:color w:val="1A1A2E"/>
          <w:sz w:val="22"/>
          <w:szCs w:val="22"/>
        </w:rPr>
        <w:t xml:space="preserve">The Studio tier is the commercial core of Spinative. It targets in-house art teams at registered iGaming studios — the teams producing 4–12 games per year across multiple brands. The workspace is collaborative: seats are added per person and every seat grants the same capabilities.</w:t>
      </w:r>
    </w:p>
    <w:p>
      <w:pPr>
        <w:pStyle w:val="ListParagraph"/>
        <w:numPr>
          <w:ilvl w:val="0"/>
          <w:numId w:val="2"/>
        </w:numPr>
        <w:spacing w:after="40" w:before="40"/>
      </w:pPr>
      <w:r>
        <w:rPr>
          <w:rFonts w:ascii="Arial" w:cs="Arial" w:eastAsia="Arial" w:hAnsi="Arial"/>
          <w:color w:val="222222"/>
          <w:sz w:val="20"/>
          <w:szCs w:val="20"/>
        </w:rPr>
        <w:t xml:space="preserve">Everything in Freelancer, plus:</w:t>
      </w:r>
    </w:p>
    <w:p>
      <w:pPr>
        <w:pStyle w:val="ListParagraph"/>
        <w:numPr>
          <w:ilvl w:val="0"/>
          <w:numId w:val="2"/>
        </w:numPr>
        <w:spacing w:after="40" w:before="40"/>
      </w:pPr>
      <w:r>
        <w:rPr>
          <w:rFonts w:ascii="Arial" w:cs="Arial" w:eastAsia="Arial" w:hAnsi="Arial"/>
          <w:color w:val="222222"/>
          <w:sz w:val="20"/>
          <w:szCs w:val="20"/>
        </w:rPr>
        <w:t xml:space="preserve">100 AI credits per seat per month — double the Freelancer allocation. A 5-person team has 500 credits/month, enough for ~25 full games per month before any top-up is needed.</w:t>
      </w:r>
    </w:p>
    <w:p>
      <w:pPr>
        <w:pStyle w:val="ListParagraph"/>
        <w:numPr>
          <w:ilvl w:val="0"/>
          <w:numId w:val="2"/>
        </w:numPr>
        <w:spacing w:after="40" w:before="40"/>
      </w:pPr>
      <w:r>
        <w:rPr>
          <w:rFonts w:ascii="Arial" w:cs="Arial" w:eastAsia="Arial" w:hAnsi="Arial"/>
          <w:color w:val="222222"/>
          <w:sz w:val="20"/>
          <w:szCs w:val="20"/>
        </w:rPr>
        <w:t xml:space="preserve">Shared workspace — all seats in the same organisation can view, comment on, and edit projects simultaneously (like Figma — one cursor per user).</w:t>
      </w:r>
    </w:p>
    <w:p>
      <w:pPr>
        <w:pStyle w:val="ListParagraph"/>
        <w:numPr>
          <w:ilvl w:val="0"/>
          <w:numId w:val="2"/>
        </w:numPr>
        <w:spacing w:after="40" w:before="40"/>
      </w:pPr>
      <w:r>
        <w:rPr>
          <w:rFonts w:ascii="Arial" w:cs="Arial" w:eastAsia="Arial" w:hAnsi="Arial"/>
          <w:color w:val="222222"/>
          <w:sz w:val="20"/>
          <w:szCs w:val="20"/>
        </w:rPr>
        <w:t xml:space="preserve">Project permissions — mark projects as view-only for stakeholders (producers, game designers) who need visibility without editing rights.</w:t>
      </w:r>
    </w:p>
    <w:p>
      <w:pPr>
        <w:pStyle w:val="ListParagraph"/>
        <w:numPr>
          <w:ilvl w:val="0"/>
          <w:numId w:val="2"/>
        </w:numPr>
        <w:spacing w:after="40" w:before="40"/>
      </w:pPr>
      <w:r>
        <w:rPr>
          <w:rFonts w:ascii="Arial" w:cs="Arial" w:eastAsia="Arial" w:hAnsi="Arial"/>
          <w:color w:val="222222"/>
          <w:sz w:val="20"/>
          <w:szCs w:val="20"/>
        </w:rPr>
        <w:t xml:space="preserve">Shared style library — studio-wide approved styles and reusable canvas templates available to all seats.</w:t>
      </w:r>
    </w:p>
    <w:p>
      <w:pPr>
        <w:pStyle w:val="ListParagraph"/>
        <w:numPr>
          <w:ilvl w:val="0"/>
          <w:numId w:val="2"/>
        </w:numPr>
        <w:spacing w:after="40" w:before="40"/>
      </w:pPr>
      <w:r>
        <w:rPr>
          <w:rFonts w:ascii="Arial" w:cs="Arial" w:eastAsia="Arial" w:hAnsi="Arial"/>
          <w:color w:val="222222"/>
          <w:sz w:val="20"/>
          <w:szCs w:val="20"/>
        </w:rPr>
        <w:t xml:space="preserve">Version history — canvas snapshots at key milestones; roll back if a direction is abandoned.</w:t>
      </w:r>
    </w:p>
    <w:p>
      <w:pPr>
        <w:pStyle w:val="ListParagraph"/>
        <w:numPr>
          <w:ilvl w:val="0"/>
          <w:numId w:val="2"/>
        </w:numPr>
        <w:spacing w:after="40" w:before="40"/>
      </w:pPr>
      <w:r>
        <w:rPr>
          <w:rFonts w:ascii="Arial" w:cs="Arial" w:eastAsia="Arial" w:hAnsi="Arial"/>
          <w:color w:val="222222"/>
          <w:sz w:val="20"/>
          <w:szCs w:val="20"/>
        </w:rPr>
        <w:t xml:space="preserve">Batch generation — generate all asset types for a game project in a single operation with progress tracking.</w:t>
      </w:r>
    </w:p>
    <w:p>
      <w:pPr>
        <w:pStyle w:val="ListParagraph"/>
        <w:numPr>
          <w:ilvl w:val="0"/>
          <w:numId w:val="2"/>
        </w:numPr>
        <w:spacing w:after="40" w:before="40"/>
      </w:pPr>
      <w:r>
        <w:rPr>
          <w:rFonts w:ascii="Arial" w:cs="Arial" w:eastAsia="Arial" w:hAnsi="Arial"/>
          <w:color w:val="222222"/>
          <w:sz w:val="20"/>
          <w:szCs w:val="20"/>
        </w:rPr>
        <w:t xml:space="preserve">Retry/regeneration — individual assets can be regenerated without re-running the full batch.</w:t>
      </w:r>
    </w:p>
    <w:p>
      <w:pPr>
        <w:pStyle w:val="ListParagraph"/>
        <w:numPr>
          <w:ilvl w:val="0"/>
          <w:numId w:val="2"/>
        </w:numPr>
        <w:spacing w:after="40" w:before="40"/>
      </w:pPr>
      <w:r>
        <w:rPr>
          <w:rFonts w:ascii="Arial" w:cs="Arial" w:eastAsia="Arial" w:hAnsi="Arial"/>
          <w:color w:val="222222"/>
          <w:sz w:val="20"/>
          <w:szCs w:val="20"/>
        </w:rPr>
        <w:t xml:space="preserve">Email + live chat support, 24-hour SLA on business days.</w:t>
      </w:r>
    </w:p>
    <w:p>
      <w:pPr>
        <w:pStyle w:val="ListParagraph"/>
        <w:numPr>
          <w:ilvl w:val="0"/>
          <w:numId w:val="2"/>
        </w:numPr>
        <w:spacing w:after="40" w:before="40"/>
      </w:pPr>
      <w:r>
        <w:rPr>
          <w:rFonts w:ascii="Arial" w:cs="Arial" w:eastAsia="Arial" w:hAnsi="Arial"/>
          <w:color w:val="222222"/>
          <w:sz w:val="20"/>
          <w:szCs w:val="20"/>
        </w:rPr>
        <w:t xml:space="preserve">Billing dashboard — the workspace owner can see seat count, renewal date, and manage subscription.</w:t>
      </w:r>
    </w:p>
    <w:p>
      <w:pPr>
        <w:spacing w:after="160" w:before="0"/>
      </w:pPr>
      <w:r>
        <w:rPr>
          <w:rFonts w:ascii="Arial" w:cs="Arial" w:eastAsia="Arial" w:hAnsi="Arial"/>
          <w:b w:val="false"/>
          <w:bCs w:val="false"/>
          <w:i/>
          <w:iCs/>
          <w:color w:val="7F8C8D"/>
          <w:sz w:val="22"/>
          <w:szCs w:val="22"/>
        </w:rPr>
        <w:t xml:space="preserve">The €49 price point is calibrated against what studios already pay for comparable per-seat tools. A single Figma Professional seat is €15/month and covers only design. Spinative replaces Figma for the asset production phase and adds AI generation on top. €49 is comfortably below the perceived value ceiling.</w:t>
      </w:r>
    </w:p>
    <w:p>
      <w:pPr>
        <w:pStyle w:val="Heading2"/>
        <w:spacing w:after="160" w:before="300"/>
      </w:pPr>
      <w:r>
        <w:rPr>
          <w:rFonts w:ascii="Arial" w:cs="Arial" w:eastAsia="Arial" w:hAnsi="Arial"/>
          <w:b/>
          <w:bCs/>
          <w:color w:val="C9A84C"/>
          <w:sz w:val="28"/>
          <w:szCs w:val="28"/>
        </w:rPr>
        <w:t xml:space="preserve">AI Credits — Detailed Mechanics</w:t>
      </w:r>
    </w:p>
    <w:p>
      <w:pPr>
        <w:spacing w:after="160" w:before="0"/>
      </w:pPr>
      <w:r>
        <w:rPr>
          <w:rFonts w:ascii="Arial" w:cs="Arial" w:eastAsia="Arial" w:hAnsi="Arial"/>
          <w:b w:val="false"/>
          <w:bCs w:val="false"/>
          <w:i w:val="false"/>
          <w:iCs w:val="false"/>
          <w:color w:val="1A1A2E"/>
          <w:sz w:val="22"/>
          <w:szCs w:val="22"/>
        </w:rPr>
        <w:t xml:space="preserve">Credits are the consumption unit for AI-generated images. One credit = one image generation request (regardless of whether the user uses standard or high-quality mode — the platform standardises on one quality level to simplify pricing).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86"/>
        <w:gridCol w:w="330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Item</w:t>
            </w:r>
          </w:p>
        </w:tc>
        <w:tc>
          <w:tcPr>
            <w:tcW w:type="dxa" w:w="328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Freelancer</w:t>
            </w:r>
          </w:p>
        </w:tc>
        <w:tc>
          <w:tcPr>
            <w:tcW w:type="dxa" w:w="33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Studio</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Included credits / seat / mo</w:t>
            </w:r>
          </w:p>
        </w:tc>
        <w:tc>
          <w:tcPr>
            <w:tcW w:type="dxa" w:w="32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100</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Credits roll over?</w:t>
            </w:r>
          </w:p>
        </w:tc>
        <w:tc>
          <w:tcPr>
            <w:tcW w:type="dxa" w:w="32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No — resets monthly</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20"/>
                <w:szCs w:val="20"/>
              </w:rPr>
              <w:t xml:space="preserve">No — resets monthly</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Top-up pack price</w:t>
            </w:r>
          </w:p>
        </w:tc>
        <w:tc>
          <w:tcPr>
            <w:tcW w:type="dxa" w:w="32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 for 50 credits</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 for 50 credits</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Approx. cost per image (top-up)</w:t>
            </w:r>
          </w:p>
        </w:tc>
        <w:tc>
          <w:tcPr>
            <w:tcW w:type="dxa" w:w="32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€0.20 / image</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€0.20 / image</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Full game (18–22 images)</w:t>
            </w:r>
          </w:p>
        </w:tc>
        <w:tc>
          <w:tcPr>
            <w:tcW w:type="dxa" w:w="328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~2.5 games included / mo</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~5 games included / seat / mo</w:t>
            </w:r>
          </w:p>
        </w:tc>
      </w:tr>
    </w:tbl>
    <w:p>
      <w:pPr>
        <w:spacing w:after="80" w:before="80"/>
      </w:pPr>
      <w:r>
        <w:t xml:space="preserve"/>
      </w:r>
    </w:p>
    <w:p>
      <w:pPr>
        <w:spacing w:after="160" w:before="0"/>
      </w:pPr>
      <w:r>
        <w:rPr>
          <w:rFonts w:ascii="Arial" w:cs="Arial" w:eastAsia="Arial" w:hAnsi="Arial"/>
          <w:b w:val="false"/>
          <w:bCs w:val="false"/>
          <w:i/>
          <w:iCs/>
          <w:color w:val="7F8C8D"/>
          <w:sz w:val="22"/>
          <w:szCs w:val="22"/>
        </w:rPr>
        <w:t xml:space="preserve">Note on AI cost: the underlying OpenAI image generation API costs approximately €0.155 per image (gpt-image-1, high quality). At 50 included credits for €29, the API cost of the included credits is €7.75 — meaning the subscription covers roughly 27% of its value in raw AI cost alone. The remaining revenue covers infrastructure, development, support, and profit. This is intentional — the included credits are generous enough to feel valuable but not so large as to make the economics unworkable.</w:t>
      </w:r>
    </w:p>
    <w:p>
      <w:pPr>
        <w:pStyle w:val="Heading2"/>
        <w:spacing w:after="160" w:before="300"/>
      </w:pPr>
      <w:r>
        <w:rPr>
          <w:rFonts w:ascii="Arial" w:cs="Arial" w:eastAsia="Arial" w:hAnsi="Arial"/>
          <w:b/>
          <w:bCs/>
          <w:color w:val="C9A84C"/>
          <w:sz w:val="28"/>
          <w:szCs w:val="28"/>
        </w:rPr>
        <w:t xml:space="preserve">Enterprise — Custom Pricing</w:t>
      </w:r>
    </w:p>
    <w:p>
      <w:pPr>
        <w:spacing w:after="160" w:before="0"/>
      </w:pPr>
      <w:r>
        <w:rPr>
          <w:rFonts w:ascii="Arial" w:cs="Arial" w:eastAsia="Arial" w:hAnsi="Arial"/>
          <w:b w:val="false"/>
          <w:bCs w:val="false"/>
          <w:i w:val="false"/>
          <w:iCs w:val="false"/>
          <w:color w:val="1A1A2E"/>
          <w:sz w:val="22"/>
          <w:szCs w:val="22"/>
        </w:rPr>
        <w:t xml:space="preserve">Enterprise tier is not self-serve. It is a sales motion targeting large iGaming operators (companies like Evolution, Pragmatic Play, Play'n GO) who have internal studios of 20–100+ people, or who operate multiple brands under one roof.</w:t>
      </w:r>
    </w:p>
    <w:p>
      <w:pPr>
        <w:pStyle w:val="ListParagraph"/>
        <w:numPr>
          <w:ilvl w:val="0"/>
          <w:numId w:val="2"/>
        </w:numPr>
        <w:spacing w:after="40" w:before="40"/>
      </w:pPr>
      <w:r>
        <w:rPr>
          <w:rFonts w:ascii="Arial" w:cs="Arial" w:eastAsia="Arial" w:hAnsi="Arial"/>
          <w:color w:val="222222"/>
          <w:sz w:val="20"/>
          <w:szCs w:val="20"/>
        </w:rPr>
        <w:t xml:space="preserve">Everything in Studio.</w:t>
      </w:r>
    </w:p>
    <w:p>
      <w:pPr>
        <w:pStyle w:val="ListParagraph"/>
        <w:numPr>
          <w:ilvl w:val="0"/>
          <w:numId w:val="2"/>
        </w:numPr>
        <w:spacing w:after="40" w:before="40"/>
      </w:pPr>
      <w:r>
        <w:rPr>
          <w:rFonts w:ascii="Arial" w:cs="Arial" w:eastAsia="Arial" w:hAnsi="Arial"/>
          <w:color w:val="222222"/>
          <w:sz w:val="20"/>
          <w:szCs w:val="20"/>
        </w:rPr>
        <w:t xml:space="preserve">White-label / custom subdomain deployment.</w:t>
      </w:r>
    </w:p>
    <w:p>
      <w:pPr>
        <w:pStyle w:val="ListParagraph"/>
        <w:numPr>
          <w:ilvl w:val="0"/>
          <w:numId w:val="2"/>
        </w:numPr>
        <w:spacing w:after="40" w:before="40"/>
      </w:pPr>
      <w:r>
        <w:rPr>
          <w:rFonts w:ascii="Arial" w:cs="Arial" w:eastAsia="Arial" w:hAnsi="Arial"/>
          <w:color w:val="222222"/>
          <w:sz w:val="20"/>
          <w:szCs w:val="20"/>
        </w:rPr>
        <w:t xml:space="preserve">SSO (SAML/SCIM) integration with the operator's identity provider.</w:t>
      </w:r>
    </w:p>
    <w:p>
      <w:pPr>
        <w:pStyle w:val="ListParagraph"/>
        <w:numPr>
          <w:ilvl w:val="0"/>
          <w:numId w:val="2"/>
        </w:numPr>
        <w:spacing w:after="40" w:before="40"/>
      </w:pPr>
      <w:r>
        <w:rPr>
          <w:rFonts w:ascii="Arial" w:cs="Arial" w:eastAsia="Arial" w:hAnsi="Arial"/>
          <w:color w:val="222222"/>
          <w:sz w:val="20"/>
          <w:szCs w:val="20"/>
        </w:rPr>
        <w:t xml:space="preserve">Volume AI credits negotiated as part of the contract.</w:t>
      </w:r>
    </w:p>
    <w:p>
      <w:pPr>
        <w:pStyle w:val="ListParagraph"/>
        <w:numPr>
          <w:ilvl w:val="0"/>
          <w:numId w:val="2"/>
        </w:numPr>
        <w:spacing w:after="40" w:before="40"/>
      </w:pPr>
      <w:r>
        <w:rPr>
          <w:rFonts w:ascii="Arial" w:cs="Arial" w:eastAsia="Arial" w:hAnsi="Arial"/>
          <w:color w:val="222222"/>
          <w:sz w:val="20"/>
          <w:szCs w:val="20"/>
        </w:rPr>
        <w:t xml:space="preserve">SLA contract with guaranteed uptime and response times.</w:t>
      </w:r>
    </w:p>
    <w:p>
      <w:pPr>
        <w:pStyle w:val="ListParagraph"/>
        <w:numPr>
          <w:ilvl w:val="0"/>
          <w:numId w:val="2"/>
        </w:numPr>
        <w:spacing w:after="40" w:before="40"/>
      </w:pPr>
      <w:r>
        <w:rPr>
          <w:rFonts w:ascii="Arial" w:cs="Arial" w:eastAsia="Arial" w:hAnsi="Arial"/>
          <w:color w:val="222222"/>
          <w:sz w:val="20"/>
          <w:szCs w:val="20"/>
        </w:rPr>
        <w:t xml:space="preserve">Dedicated Customer Success Manager.</w:t>
      </w:r>
    </w:p>
    <w:p>
      <w:pPr>
        <w:pStyle w:val="ListParagraph"/>
        <w:numPr>
          <w:ilvl w:val="0"/>
          <w:numId w:val="2"/>
        </w:numPr>
        <w:spacing w:after="40" w:before="40"/>
      </w:pPr>
      <w:r>
        <w:rPr>
          <w:rFonts w:ascii="Arial" w:cs="Arial" w:eastAsia="Arial" w:hAnsi="Arial"/>
          <w:color w:val="222222"/>
          <w:sz w:val="20"/>
          <w:szCs w:val="20"/>
        </w:rPr>
        <w:t xml:space="preserve">Onboarding and training sessions included.</w:t>
      </w:r>
    </w:p>
    <w:p>
      <w:pPr>
        <w:pStyle w:val="ListParagraph"/>
        <w:numPr>
          <w:ilvl w:val="0"/>
          <w:numId w:val="2"/>
        </w:numPr>
        <w:spacing w:after="40" w:before="40"/>
      </w:pPr>
      <w:r>
        <w:rPr>
          <w:rFonts w:ascii="Arial" w:cs="Arial" w:eastAsia="Arial" w:hAnsi="Arial"/>
          <w:color w:val="222222"/>
          <w:sz w:val="20"/>
          <w:szCs w:val="20"/>
        </w:rPr>
        <w:t xml:space="preserve">Custom invoicing terms (annual prepay, purchase order, etc.).</w:t>
      </w:r>
    </w:p>
    <w:p>
      <w:pPr>
        <w:spacing w:after="160" w:before="0"/>
      </w:pPr>
      <w:r>
        <w:rPr>
          <w:rFonts w:ascii="Arial" w:cs="Arial" w:eastAsia="Arial" w:hAnsi="Arial"/>
          <w:b w:val="false"/>
          <w:bCs w:val="false"/>
          <w:i/>
          <w:iCs/>
          <w:color w:val="7F8C8D"/>
          <w:sz w:val="22"/>
          <w:szCs w:val="22"/>
        </w:rPr>
        <w:t xml:space="preserve">Enterprise accounts are typically closed at €5,000–€20,000+ ARR per account and require a different sales process. They are not modelled in the standard revenue projections below but represent significant upside.</w:t>
      </w:r>
    </w:p>
    <w:p>
      <w:r>
        <w:br w:type="page"/>
      </w:r>
    </w:p>
    <w:p>
      <w:pPr>
        <w:pStyle w:val="Heading1"/>
        <w:spacing w:after="200" w:before="400"/>
      </w:pPr>
      <w:r>
        <w:rPr>
          <w:rFonts w:ascii="Arial" w:cs="Arial" w:eastAsia="Arial" w:hAnsi="Arial"/>
          <w:b/>
          <w:bCs/>
          <w:color w:val="1A1A2E"/>
          <w:sz w:val="36"/>
          <w:szCs w:val="36"/>
        </w:rPr>
        <w:t xml:space="preserve">4. Unit Economics — What You Actually Keep</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Understanding net revenue per seat is critical before building revenue projections. Three costs sit between the subscriber's payment and money in the bank: Stripe processing fees, OpenAI API costs for AI generation, and Spanish VAT obligations.</w:t>
      </w:r>
    </w:p>
    <w:p>
      <w:pPr>
        <w:pStyle w:val="Heading2"/>
        <w:spacing w:after="160" w:before="300"/>
      </w:pPr>
      <w:r>
        <w:rPr>
          <w:rFonts w:ascii="Arial" w:cs="Arial" w:eastAsia="Arial" w:hAnsi="Arial"/>
          <w:b/>
          <w:bCs/>
          <w:color w:val="C9A84C"/>
          <w:sz w:val="28"/>
          <w:szCs w:val="28"/>
        </w:rPr>
        <w:t xml:space="preserve">VAT — How It Works</w:t>
      </w:r>
    </w:p>
    <w:p>
      <w:pPr>
        <w:spacing w:after="160" w:before="0"/>
      </w:pPr>
      <w:r>
        <w:rPr>
          <w:rFonts w:ascii="Arial" w:cs="Arial" w:eastAsia="Arial" w:hAnsi="Arial"/>
          <w:b w:val="false"/>
          <w:bCs w:val="false"/>
          <w:i w:val="false"/>
          <w:iCs w:val="false"/>
          <w:color w:val="1A1A2E"/>
          <w:sz w:val="22"/>
          <w:szCs w:val="22"/>
        </w:rPr>
        <w:t xml:space="preserve">Spinative is operated from Spain. The pricing model charges net of VAT — the customer pays the seat price plus any applicable VAT on top. This means the €49 or €29 amount is the revenue that lands in the business before Stripe fees and AI costs. VAT is collected and remitted to AEAT (Spain) — it passes through the business but is not income.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193"/>
        <w:gridCol w:w="2193"/>
        <w:gridCol w:w="200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Customer type</w:t>
            </w:r>
          </w:p>
        </w:tc>
        <w:tc>
          <w:tcPr>
            <w:tcW w:type="dxa" w:w="219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VAT rate</w:t>
            </w:r>
          </w:p>
        </w:tc>
        <w:tc>
          <w:tcPr>
            <w:tcW w:type="dxa" w:w="219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Customer pays (Studio)</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You receive (net)</w:t>
            </w:r>
          </w:p>
        </w:tc>
      </w:tr>
      <w:tr>
        <w:tc>
          <w:tcPr>
            <w:tcW w:type="dxa" w:w="3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Spain-based studio</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21%</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€59.29</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€49.00</w:t>
            </w:r>
          </w:p>
        </w:tc>
      </w:tr>
      <w:tr>
        <w:tc>
          <w:tcPr>
            <w:tcW w:type="dxa" w:w="3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EU B2B (valid VAT number)</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 (reverse charge)</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€49.00</w:t>
            </w:r>
          </w:p>
        </w:tc>
      </w:tr>
      <w:tr>
        <w:tc>
          <w:tcPr>
            <w:tcW w:type="dxa" w:w="3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Non-EU (Malta, UK, Gibraltar)</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0%</w:t>
            </w:r>
          </w:p>
        </w:tc>
        <w:tc>
          <w:tcPr>
            <w:tcW w:type="dxa" w:w="21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€49.00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€49.00</w:t>
            </w:r>
          </w:p>
        </w:tc>
      </w:tr>
    </w:tbl>
    <w:p>
      <w:pPr>
        <w:spacing w:after="80" w:before="80"/>
      </w:pPr>
      <w:r>
        <w:t xml:space="preserve"/>
      </w:r>
    </w:p>
    <w:p>
      <w:pPr>
        <w:spacing w:after="200" w:before="0"/>
      </w:pPr>
      <w:r>
        <w:rPr>
          <w:rFonts w:ascii="Arial" w:cs="Arial" w:eastAsia="Arial" w:hAnsi="Arial"/>
          <w:b w:val="false"/>
          <w:bCs w:val="false"/>
          <w:i/>
          <w:iCs/>
          <w:color w:val="7F8C8D"/>
          <w:sz w:val="22"/>
          <w:szCs w:val="22"/>
        </w:rPr>
        <w:t xml:space="preserve">Key insight: the majority of iGaming studios are NOT based in Spain. Malta (where roughly 700+ licensed operators are based), Gibraltar, Isle of Man, and the UK together represent the bulk of the target market. For all of these, the customer simply pays the net price — no VAT complications. Spanish studios are the exception, not the rule.</w:t>
      </w:r>
    </w:p>
    <w:p>
      <w:pPr>
        <w:pStyle w:val="Heading2"/>
        <w:spacing w:after="160" w:before="300"/>
      </w:pPr>
      <w:r>
        <w:rPr>
          <w:rFonts w:ascii="Arial" w:cs="Arial" w:eastAsia="Arial" w:hAnsi="Arial"/>
          <w:b/>
          <w:bCs/>
          <w:color w:val="C9A84C"/>
          <w:sz w:val="28"/>
          <w:szCs w:val="28"/>
        </w:rPr>
        <w:t xml:space="preserve">Stripe Fees</w:t>
      </w:r>
    </w:p>
    <w:p>
      <w:pPr>
        <w:spacing w:after="160" w:before="0"/>
      </w:pPr>
      <w:r>
        <w:rPr>
          <w:rFonts w:ascii="Arial" w:cs="Arial" w:eastAsia="Arial" w:hAnsi="Arial"/>
          <w:b w:val="false"/>
          <w:bCs w:val="false"/>
          <w:i w:val="false"/>
          <w:iCs w:val="false"/>
          <w:color w:val="1A1A2E"/>
          <w:sz w:val="22"/>
          <w:szCs w:val="22"/>
        </w:rPr>
        <w:t xml:space="preserve">Stripe charges approximately 1.5% + €0.25 per successful charge for European cards (lower for non-EU). A blended rate of 2.2% + €0.25 per subscription charge is a conservative estimate covering card network fees, currency conversion, and Stripe's cut.</w:t>
      </w:r>
    </w:p>
    <w:p>
      <w:pPr>
        <w:pStyle w:val="ListParagraph"/>
        <w:numPr>
          <w:ilvl w:val="0"/>
          <w:numId w:val="2"/>
        </w:numPr>
        <w:spacing w:after="40" w:before="40"/>
      </w:pPr>
      <w:r>
        <w:rPr>
          <w:rFonts w:ascii="Arial" w:cs="Arial" w:eastAsia="Arial" w:hAnsi="Arial"/>
          <w:color w:val="222222"/>
          <w:sz w:val="20"/>
          <w:szCs w:val="20"/>
        </w:rPr>
        <w:t xml:space="preserve">Studio seat (€49): Stripe fee ≈ €1.33. Net to you: €47.67.</w:t>
      </w:r>
    </w:p>
    <w:p>
      <w:pPr>
        <w:pStyle w:val="ListParagraph"/>
        <w:numPr>
          <w:ilvl w:val="0"/>
          <w:numId w:val="2"/>
        </w:numPr>
        <w:spacing w:after="40" w:before="40"/>
      </w:pPr>
      <w:r>
        <w:rPr>
          <w:rFonts w:ascii="Arial" w:cs="Arial" w:eastAsia="Arial" w:hAnsi="Arial"/>
          <w:color w:val="222222"/>
          <w:sz w:val="20"/>
          <w:szCs w:val="20"/>
        </w:rPr>
        <w:t xml:space="preserve">Freelancer seat (€29): Stripe fee ≈ €0.89. Net to you: €28.11.</w:t>
      </w:r>
    </w:p>
    <w:p>
      <w:pPr>
        <w:spacing w:after="200" w:before="0"/>
      </w:pPr>
      <w:r>
        <w:rPr>
          <w:rFonts w:ascii="Arial" w:cs="Arial" w:eastAsia="Arial" w:hAnsi="Arial"/>
          <w:b w:val="false"/>
          <w:bCs w:val="false"/>
          <w:i w:val="false"/>
          <w:iCs w:val="false"/>
          <w:color w:val="1A1A2E"/>
          <w:sz w:val="22"/>
          <w:szCs w:val="22"/>
        </w:rPr>
        <w:t xml:space="preserve">These fees are applied per subscription renewal, not per seat within a subscription. A 10-seat Studio workspace on a single subscription pays one charge of €490 with one Stripe fee of ~€11.05, not ten separate fees.</w:t>
      </w:r>
    </w:p>
    <w:p>
      <w:pPr>
        <w:pStyle w:val="Heading2"/>
        <w:spacing w:after="160" w:before="300"/>
      </w:pPr>
      <w:r>
        <w:rPr>
          <w:rFonts w:ascii="Arial" w:cs="Arial" w:eastAsia="Arial" w:hAnsi="Arial"/>
          <w:b/>
          <w:bCs/>
          <w:color w:val="C9A84C"/>
          <w:sz w:val="28"/>
          <w:szCs w:val="28"/>
        </w:rPr>
        <w:t xml:space="preserve">AI Cost Per Seat</w:t>
      </w:r>
    </w:p>
    <w:p>
      <w:pPr>
        <w:spacing w:after="160" w:before="0"/>
      </w:pPr>
      <w:r>
        <w:rPr>
          <w:rFonts w:ascii="Arial" w:cs="Arial" w:eastAsia="Arial" w:hAnsi="Arial"/>
          <w:b w:val="false"/>
          <w:bCs w:val="false"/>
          <w:i w:val="false"/>
          <w:iCs w:val="false"/>
          <w:color w:val="1A1A2E"/>
          <w:sz w:val="22"/>
          <w:szCs w:val="22"/>
        </w:rPr>
        <w:t xml:space="preserve">The critical number is the OpenAI image generation cost relative to the included credits. At €0.155 per image (gpt-image-1, high quality mode), the cost of included credits per tier 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596"/>
        <w:gridCol w:w="1596"/>
        <w:gridCol w:w="1597"/>
        <w:gridCol w:w="1797"/>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Tier</w:t>
            </w:r>
          </w:p>
        </w:tc>
        <w:tc>
          <w:tcPr>
            <w:tcW w:type="dxa" w:w="159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Credits</w:t>
            </w:r>
          </w:p>
        </w:tc>
        <w:tc>
          <w:tcPr>
            <w:tcW w:type="dxa" w:w="159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AI cost</w:t>
            </w:r>
          </w:p>
        </w:tc>
        <w:tc>
          <w:tcPr>
            <w:tcW w:type="dxa" w:w="1597"/>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Seat price</w:t>
            </w:r>
          </w:p>
        </w:tc>
        <w:tc>
          <w:tcPr>
            <w:tcW w:type="dxa" w:w="1797"/>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Gross after AI</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Freelancer</w:t>
            </w:r>
          </w:p>
        </w:tc>
        <w:tc>
          <w:tcPr>
            <w:tcW w:type="dxa" w:w="15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w:t>
            </w:r>
          </w:p>
        </w:tc>
        <w:tc>
          <w:tcPr>
            <w:tcW w:type="dxa" w:w="15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€7.75</w:t>
            </w:r>
          </w:p>
        </w:tc>
        <w:tc>
          <w:tcPr>
            <w:tcW w:type="dxa" w:w="159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€29</w:t>
            </w:r>
          </w:p>
        </w:tc>
        <w:tc>
          <w:tcPr>
            <w:tcW w:type="dxa" w:w="179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€21.25</w:t>
            </w:r>
          </w:p>
        </w:tc>
      </w:tr>
      <w:tr>
        <w:tc>
          <w:tcPr>
            <w:tcW w:type="dxa" w:w="28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Studio</w:t>
            </w:r>
          </w:p>
        </w:tc>
        <w:tc>
          <w:tcPr>
            <w:tcW w:type="dxa" w:w="15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1596"/>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€15.50</w:t>
            </w:r>
          </w:p>
        </w:tc>
        <w:tc>
          <w:tcPr>
            <w:tcW w:type="dxa" w:w="159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w:t>
            </w:r>
          </w:p>
        </w:tc>
        <w:tc>
          <w:tcPr>
            <w:tcW w:type="dxa" w:w="1797"/>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€33.50</w:t>
            </w:r>
          </w:p>
        </w:tc>
      </w:tr>
    </w:tbl>
    <w:p>
      <w:pPr>
        <w:spacing w:after="80" w:before="80"/>
      </w:pPr>
      <w:r>
        <w:t xml:space="preserve"/>
      </w:r>
    </w:p>
    <w:p>
      <w:pPr>
        <w:spacing w:after="200" w:before="0"/>
      </w:pPr>
      <w:r>
        <w:rPr>
          <w:rFonts w:ascii="Arial" w:cs="Arial" w:eastAsia="Arial" w:hAnsi="Arial"/>
          <w:b w:val="false"/>
          <w:bCs w:val="false"/>
          <w:i/>
          <w:iCs/>
          <w:color w:val="7F8C8D"/>
          <w:sz w:val="22"/>
          <w:szCs w:val="22"/>
        </w:rPr>
        <w:t xml:space="preserve">This assumes every included credit is used. In practice, utilisation is typically 60–80% for paid SaaS tools with usage-based features. If average utilisation is 70%, the blended AI cost drops proportionally. The projections below use the conservative 100% utilisation assumption (worst case for margins).</w:t>
      </w:r>
    </w:p>
    <w:p>
      <w:pPr>
        <w:pStyle w:val="Heading2"/>
        <w:spacing w:after="160" w:before="300"/>
      </w:pPr>
      <w:r>
        <w:rPr>
          <w:rFonts w:ascii="Arial" w:cs="Arial" w:eastAsia="Arial" w:hAnsi="Arial"/>
          <w:b/>
          <w:bCs/>
          <w:color w:val="C9A84C"/>
          <w:sz w:val="28"/>
          <w:szCs w:val="28"/>
        </w:rPr>
        <w:t xml:space="preserve">Gross Margin Per Seat (Studio, worst case)</w:t>
      </w:r>
    </w:p>
    <w:p>
      <w:pPr>
        <w:spacing w:after="8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2693"/>
        <w:gridCol w:w="2693"/>
      </w:tblGrid>
      <w:tr>
        <w:tc>
          <w:tcPr>
            <w:tcW w:type="dxa" w:w="4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Line item</w:t>
            </w:r>
          </w:p>
        </w:tc>
        <w:tc>
          <w:tcPr>
            <w:tcW w:type="dxa" w:w="269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Per seat</w:t>
            </w:r>
          </w:p>
        </w:tc>
        <w:tc>
          <w:tcPr>
            <w:tcW w:type="dxa" w:w="269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Notes</w:t>
            </w:r>
          </w:p>
        </w:tc>
      </w:tr>
      <w:tr>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Seat revenue (net of VAT)</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€49.00</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7F8C8D"/>
                <w:sz w:val="20"/>
                <w:szCs w:val="20"/>
              </w:rPr>
              <w:t xml:space="preserve">VAT passes through</w:t>
            </w:r>
          </w:p>
        </w:tc>
      </w:tr>
      <w:tr>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Stripe processing fee</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−€1.33</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7F8C8D"/>
                <w:sz w:val="20"/>
                <w:szCs w:val="20"/>
              </w:rPr>
              <w:t xml:space="preserve">~2.2% + €0.25 / charge</w:t>
            </w:r>
          </w:p>
        </w:tc>
      </w:tr>
      <w:tr>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OpenAI image generation cost</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E74C3C"/>
                <w:sz w:val="20"/>
                <w:szCs w:val="20"/>
              </w:rPr>
              <w:t xml:space="preserve">−€15.50</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7F8C8D"/>
                <w:sz w:val="20"/>
                <w:szCs w:val="20"/>
              </w:rPr>
              <w:t xml:space="preserve">100 credits × €0.155</w:t>
            </w:r>
          </w:p>
        </w:tc>
      </w:tr>
      <w:tr>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Gross contribution per seat</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€32.17</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7F8C8D"/>
                <w:sz w:val="20"/>
                <w:szCs w:val="20"/>
              </w:rPr>
              <w:t xml:space="preserve">Before infra / development costs</w:t>
            </w:r>
          </w:p>
        </w:tc>
      </w:tr>
      <w:tr>
        <w:tc>
          <w:tcPr>
            <w:tcW w:type="dxa" w:w="400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Gross margin %</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~66%</w:t>
            </w:r>
          </w:p>
        </w:tc>
        <w:tc>
          <w:tcPr>
            <w:tcW w:type="dxa" w:w="2693"/>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7F8C8D"/>
                <w:sz w:val="20"/>
                <w:szCs w:val="20"/>
              </w:rPr>
              <w:t xml:space="preserve">Improves if credits underused</w:t>
            </w:r>
          </w:p>
        </w:tc>
      </w:tr>
    </w:tbl>
    <w:p>
      <w:r>
        <w:br w:type="page"/>
      </w:r>
    </w:p>
    <w:p>
      <w:pPr>
        <w:pStyle w:val="Heading1"/>
        <w:spacing w:after="200" w:before="400"/>
      </w:pPr>
      <w:r>
        <w:rPr>
          <w:rFonts w:ascii="Arial" w:cs="Arial" w:eastAsia="Arial" w:hAnsi="Arial"/>
          <w:b/>
          <w:bCs/>
          <w:color w:val="1A1A2E"/>
          <w:sz w:val="36"/>
          <w:szCs w:val="36"/>
        </w:rPr>
        <w:t xml:space="preserve">5. Revenue Projections</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The following projections model monthly recurring revenue (MRR) across several growth scenarios. The blend assumes 80% of paying seats are Studio (€49) and 20% are Freelancer (€29). This reflects the expected market: iGaming is a studio-dominated industry, with individual freelancers being a smaller but meaningful segment.</w:t>
      </w:r>
    </w:p>
    <w:p>
      <w:pPr>
        <w:pStyle w:val="Heading2"/>
        <w:spacing w:after="160" w:before="300"/>
      </w:pPr>
      <w:r>
        <w:rPr>
          <w:rFonts w:ascii="Arial" w:cs="Arial" w:eastAsia="Arial" w:hAnsi="Arial"/>
          <w:b/>
          <w:bCs/>
          <w:color w:val="C9A84C"/>
          <w:sz w:val="28"/>
          <w:szCs w:val="28"/>
        </w:rPr>
        <w:t xml:space="preserve">MRR Scenarios</w:t>
      </w:r>
    </w:p>
    <w:p>
      <w:pPr>
        <w:spacing w:after="8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2303"/>
        <w:gridCol w:w="3303"/>
      </w:tblGrid>
      <w:tr>
        <w:tc>
          <w:tcPr>
            <w:tcW w:type="dxa" w:w="1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Accounts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Avg seats</w:t>
            </w:r>
          </w:p>
        </w:tc>
        <w:tc>
          <w:tcPr>
            <w:tcW w:type="dxa" w:w="12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Total seats</w:t>
            </w:r>
          </w:p>
        </w:tc>
        <w:tc>
          <w:tcPr>
            <w:tcW w:type="dxa" w:w="230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Gross MRR</w:t>
            </w:r>
          </w:p>
        </w:tc>
        <w:tc>
          <w:tcPr>
            <w:tcW w:type="dxa" w:w="330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Net MRR (after Stripe + AI)</w:t>
            </w:r>
          </w:p>
        </w:tc>
      </w:tr>
      <w:tr>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3</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€675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€659</w:t>
            </w:r>
          </w:p>
        </w:tc>
      </w:tr>
      <w:tr>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€1800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€1758</w:t>
            </w:r>
          </w:p>
        </w:tc>
      </w:tr>
      <w:tr>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125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€5625</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€5495</w:t>
            </w:r>
          </w:p>
        </w:tc>
      </w:tr>
      <w:tr>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250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€11250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€10990</w:t>
            </w:r>
          </w:p>
        </w:tc>
      </w:tr>
      <w:tr>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6</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600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€27000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€26381</w:t>
            </w:r>
          </w:p>
        </w:tc>
      </w:tr>
      <w:tr>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200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1400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€63000</w:t>
            </w:r>
          </w:p>
        </w:tc>
        <w:tc>
          <w:tcPr>
            <w:tcW w:type="dxa" w:w="12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€61564</w:t>
            </w:r>
          </w:p>
        </w:tc>
      </w:tr>
      <w:tr>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8</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4000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€180000</w:t>
            </w:r>
          </w:p>
        </w:tc>
        <w:tc>
          <w:tcPr>
            <w:tcW w:type="dxa" w:w="126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€175915</w:t>
            </w:r>
          </w:p>
        </w:tc>
      </w:tr>
    </w:tbl>
    <w:p>
      <w:pPr>
        <w:spacing w:after="80" w:before="80"/>
      </w:pPr>
      <w:r>
        <w:t xml:space="preserve"/>
      </w:r>
    </w:p>
    <w:p>
      <w:pPr>
        <w:spacing w:after="200" w:before="0"/>
      </w:pPr>
      <w:r>
        <w:rPr>
          <w:rFonts w:ascii="Arial" w:cs="Arial" w:eastAsia="Arial" w:hAnsi="Arial"/>
          <w:b w:val="false"/>
          <w:bCs w:val="false"/>
          <w:i/>
          <w:iCs/>
          <w:color w:val="7F8C8D"/>
          <w:sz w:val="22"/>
          <w:szCs w:val="22"/>
        </w:rPr>
        <w:t xml:space="preserve">Note: "Accounts" refers to paying organisations. Average seats per account grows as the product matures and larger studios adopt it. Early accounts will skew smaller (2–4 seats); mature accounts in year 2–3 will average 6–10 seats.</w:t>
      </w:r>
    </w:p>
    <w:p>
      <w:pPr>
        <w:pStyle w:val="Heading2"/>
        <w:spacing w:after="160" w:before="300"/>
      </w:pPr>
      <w:r>
        <w:rPr>
          <w:rFonts w:ascii="Arial" w:cs="Arial" w:eastAsia="Arial" w:hAnsi="Arial"/>
          <w:b/>
          <w:bCs/>
          <w:color w:val="C9A84C"/>
          <w:sz w:val="28"/>
          <w:szCs w:val="28"/>
        </w:rPr>
        <w:t xml:space="preserve">Cost Breakdown at Scale</w:t>
      </w:r>
    </w:p>
    <w:p>
      <w:pPr>
        <w:spacing w:after="160" w:before="0"/>
      </w:pPr>
      <w:r>
        <w:rPr>
          <w:rFonts w:ascii="Arial" w:cs="Arial" w:eastAsia="Arial" w:hAnsi="Arial"/>
          <w:b w:val="false"/>
          <w:bCs w:val="false"/>
          <w:i w:val="false"/>
          <w:iCs w:val="false"/>
          <w:color w:val="1A1A2E"/>
          <w:sz w:val="22"/>
          <w:szCs w:val="22"/>
        </w:rPr>
        <w:t xml:space="preserve">The variable costs (Stripe fees + OpenAI credits) are the only costs that scale with revenue. All other costs — server infrastructure, domain, tools, and the founder's own time — are largely fixed at early scale. Below is the gross contribution at different seat counts (100% credit utilisation assumed).</w:t>
      </w:r>
    </w:p>
    <w:p>
      <w:pPr>
        <w:spacing w:after="8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2533"/>
        <w:gridCol w:w="2533"/>
      </w:tblGrid>
      <w:tr>
        <w:tc>
          <w:tcPr>
            <w:tcW w:type="dxa" w:w="14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Seats</w:t>
            </w:r>
          </w:p>
        </w:tc>
        <w:tc>
          <w:tcPr>
            <w:tcW w:type="dxa" w:w="14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AI cost / mo</w:t>
            </w:r>
          </w:p>
        </w:tc>
        <w:tc>
          <w:tcPr>
            <w:tcW w:type="dxa" w:w="144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Stripe / mo</w:t>
            </w:r>
          </w:p>
        </w:tc>
        <w:tc>
          <w:tcPr>
            <w:tcW w:type="dxa" w:w="253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Gross contribution / mo</w:t>
            </w:r>
          </w:p>
        </w:tc>
        <w:tc>
          <w:tcPr>
            <w:tcW w:type="dxa" w:w="2533"/>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Margin %</w:t>
            </w:r>
          </w:p>
        </w:tc>
      </w:tr>
      <w:tr>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€775</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€1425</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€1550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€99</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€2851</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250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€3875</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€247</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€7128</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€7750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€495</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€14255</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1000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€15500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€990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€28510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2000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€31000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€1980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€57020</w:t>
            </w:r>
          </w:p>
        </w:tc>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r>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5000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€77500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€4950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€142550</w:t>
            </w:r>
          </w:p>
        </w:tc>
        <w:tc>
          <w:tcPr>
            <w:tcW w:type="dxa" w:w="1440"/>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63%</w:t>
            </w:r>
          </w:p>
        </w:tc>
      </w:tr>
    </w:tbl>
    <w:p>
      <w:pPr>
        <w:spacing w:after="80" w:before="80"/>
      </w:pPr>
      <w:r>
        <w:t xml:space="preserve"/>
      </w:r>
    </w:p>
    <w:p>
      <w:pPr>
        <w:spacing w:after="200" w:before="0"/>
      </w:pPr>
      <w:r>
        <w:rPr>
          <w:rFonts w:ascii="Arial" w:cs="Arial" w:eastAsia="Arial" w:hAnsi="Arial"/>
          <w:b w:val="false"/>
          <w:bCs w:val="false"/>
          <w:i/>
          <w:iCs/>
          <w:color w:val="7F8C8D"/>
          <w:sz w:val="22"/>
          <w:szCs w:val="22"/>
        </w:rPr>
        <w:t xml:space="preserve">The margin improves at scale because the Stripe per-charge fee (€0.25) becomes a smaller proportion of total revenue as average subscription value rises (larger teams paying more per subscription, fewer charges per seat). At 5,000 seats across ~400 accounts, the business is generating roughly €140,000 per month in gross contribution before fixed operating costs.</w:t>
      </w:r>
    </w:p>
    <w:p>
      <w:r>
        <w:br w:type="page"/>
      </w:r>
    </w:p>
    <w:p>
      <w:pPr>
        <w:pStyle w:val="Heading1"/>
        <w:spacing w:after="200" w:before="400"/>
      </w:pPr>
      <w:r>
        <w:rPr>
          <w:rFonts w:ascii="Arial" w:cs="Arial" w:eastAsia="Arial" w:hAnsi="Arial"/>
          <w:b/>
          <w:bCs/>
          <w:color w:val="1A1A2E"/>
          <w:sz w:val="36"/>
          <w:szCs w:val="36"/>
        </w:rPr>
        <w:t xml:space="preserve">6. The Millionaire Question — Is It Feasible?</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The honest answer is: yes, but not from Studio seats alone, and not quickly. Here is the rigorous breakdown.</w:t>
      </w:r>
    </w:p>
    <w:p>
      <w:pPr>
        <w:pStyle w:val="Heading2"/>
        <w:spacing w:after="160" w:before="300"/>
      </w:pPr>
      <w:r>
        <w:rPr>
          <w:rFonts w:ascii="Arial" w:cs="Arial" w:eastAsia="Arial" w:hAnsi="Arial"/>
          <w:b/>
          <w:bCs/>
          <w:color w:val="C9A84C"/>
          <w:sz w:val="28"/>
          <w:szCs w:val="28"/>
        </w:rPr>
        <w:t xml:space="preserve">What Does €1M ARR Actually Require?</w:t>
      </w:r>
    </w:p>
    <w:p>
      <w:pPr>
        <w:spacing w:after="160" w:before="0"/>
      </w:pPr>
      <w:r>
        <w:rPr>
          <w:rFonts w:ascii="Arial" w:cs="Arial" w:eastAsia="Arial" w:hAnsi="Arial"/>
          <w:b w:val="false"/>
          <w:bCs w:val="false"/>
          <w:i w:val="false"/>
          <w:iCs w:val="false"/>
          <w:color w:val="1A1A2E"/>
          <w:sz w:val="22"/>
          <w:szCs w:val="22"/>
        </w:rPr>
        <w:t xml:space="preserve">€1,000,000 in Annual Recurring Revenue means €83,333 in Monthly Recurring Revenue. At an average blended seat price of €43 (80% Studio × €49 + 20% Freelancer × €29), the required seat count is:</w:t>
      </w:r>
    </w:p>
    <w:p>
      <w:pPr>
        <w:spacing w:after="200" w:before="0"/>
      </w:pPr>
      <w:r>
        <w:rPr>
          <w:rFonts w:ascii="Arial" w:cs="Arial" w:eastAsia="Arial" w:hAnsi="Arial"/>
          <w:b/>
          <w:bCs/>
          <w:i w:val="false"/>
          <w:iCs w:val="false"/>
          <w:color w:val="C9A84C"/>
          <w:sz w:val="26"/>
          <w:szCs w:val="26"/>
        </w:rPr>
        <w:t xml:space="preserve">€83,333 ÷ €43 ≈ 1,938 paying seats</w:t>
      </w:r>
    </w:p>
    <w:p>
      <w:pPr>
        <w:spacing w:after="160" w:before="0"/>
      </w:pPr>
      <w:r>
        <w:rPr>
          <w:rFonts w:ascii="Arial" w:cs="Arial" w:eastAsia="Arial" w:hAnsi="Arial"/>
          <w:b w:val="false"/>
          <w:bCs w:val="false"/>
          <w:i w:val="false"/>
          <w:iCs w:val="false"/>
          <w:color w:val="1A1A2E"/>
          <w:sz w:val="22"/>
          <w:szCs w:val="22"/>
        </w:rPr>
        <w:t xml:space="preserve">Across an average account size of 6 seats, that is approximately 323 paying accounts. In an industry with thousands of licensed studios globally, this is a realistic — not trivial, but realistic — target.</w:t>
      </w:r>
    </w:p>
    <w:p>
      <w:pPr>
        <w:spacing w:after="200" w:before="0"/>
      </w:pPr>
      <w:r>
        <w:rPr>
          <w:rFonts w:ascii="Arial" w:cs="Arial" w:eastAsia="Arial" w:hAnsi="Arial"/>
          <w:b w:val="false"/>
          <w:bCs w:val="false"/>
          <w:i w:val="false"/>
          <w:iCs w:val="false"/>
          <w:color w:val="1A1A2E"/>
          <w:sz w:val="22"/>
          <w:szCs w:val="22"/>
        </w:rPr>
        <w:t xml:space="preserve">For context on the size of this market: there are currently over 6,000 licensed B2C online casino operators globally. Behind each is typically a game content team or at least a contracted art studio. The addressable supply side (studios producing slot game content) numbers in the hundreds — from large operators with in-house studios to specialist studios like Hacksaw, Nolimit City, Push Gaming, and thousands of smaller operations. This is a concentrated market: 323 accounts represent roughly 5–10% of the addressable addressable market.</w:t>
      </w:r>
    </w:p>
    <w:p>
      <w:pPr>
        <w:pStyle w:val="Heading2"/>
        <w:spacing w:after="160" w:before="300"/>
      </w:pPr>
      <w:r>
        <w:rPr>
          <w:rFonts w:ascii="Arial" w:cs="Arial" w:eastAsia="Arial" w:hAnsi="Arial"/>
          <w:b/>
          <w:bCs/>
          <w:color w:val="C9A84C"/>
          <w:sz w:val="28"/>
          <w:szCs w:val="28"/>
        </w:rPr>
        <w:t xml:space="preserve">Three Paths to €1M ARR</w:t>
      </w:r>
    </w:p>
    <w:p>
      <w:pPr>
        <w:spacing w:after="80" w:before="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986"/>
        <w:gridCol w:w="1900"/>
        <w:gridCol w:w="1900"/>
        <w:gridCol w:w="1900"/>
        <w:gridCol w:w="1700"/>
      </w:tblGrid>
      <w:tr>
        <w:tc>
          <w:tcPr>
            <w:tcW w:type="dxa" w:w="1986"/>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Path</w:t>
            </w:r>
          </w:p>
        </w:tc>
        <w:tc>
          <w:tcPr>
            <w:tcW w:type="dxa" w:w="1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Accounts</w:t>
            </w:r>
          </w:p>
        </w:tc>
        <w:tc>
          <w:tcPr>
            <w:tcW w:type="dxa" w:w="1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Avg seats</w:t>
            </w:r>
          </w:p>
        </w:tc>
        <w:tc>
          <w:tcPr>
            <w:tcW w:type="dxa" w:w="19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Monthly price</w:t>
            </w:r>
          </w:p>
        </w:tc>
        <w:tc>
          <w:tcPr>
            <w:tcW w:type="dxa" w:w="17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Annual revenue</w:t>
            </w:r>
          </w:p>
        </w:tc>
      </w:tr>
      <w:tr>
        <w:tc>
          <w:tcPr>
            <w:tcW w:type="dxa" w:w="1986"/>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Many small accounts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500</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 seats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€43 blended</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€1.03M</w:t>
            </w:r>
          </w:p>
        </w:tc>
      </w:tr>
      <w:tr>
        <w:tc>
          <w:tcPr>
            <w:tcW w:type="dxa" w:w="1986"/>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Fewer, larger studios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200</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10 seats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€43 blended</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€1.03M</w:t>
            </w:r>
          </w:p>
        </w:tc>
      </w:tr>
      <w:tr>
        <w:tc>
          <w:tcPr>
            <w:tcW w:type="dxa" w:w="1986"/>
            <w:tcBorders>
              <w:top w:val="single" w:color="DDDDDD" w:sz="1"/>
              <w:left w:val="single" w:color="DDDDDD" w:sz="1"/>
              <w:bottom w:val="single" w:color="DDDDDD" w:sz="1"/>
              <w:right w:val="single" w:color="DDDDDD"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Enterprise mix</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50 SMB + 10 Enterprise</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5 / 50 seats</w:t>
            </w:r>
          </w:p>
        </w:tc>
        <w:tc>
          <w:tcPr>
            <w:tcW w:type="dxa" w:w="1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€49 / €99+ per seat</w:t>
            </w:r>
          </w:p>
        </w:tc>
        <w:tc>
          <w:tcPr>
            <w:tcW w:type="dxa" w:w="17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7AE60"/>
                <w:sz w:val="20"/>
                <w:szCs w:val="20"/>
              </w:rPr>
              <w:t xml:space="preserve">~€900K–1.2M</w:t>
            </w:r>
          </w:p>
        </w:tc>
      </w:tr>
    </w:tbl>
    <w:p>
      <w:pPr>
        <w:spacing w:after="80" w:before="80"/>
      </w:pPr>
      <w:r>
        <w:t xml:space="preserve"/>
      </w:r>
    </w:p>
    <w:p>
      <w:pPr>
        <w:pStyle w:val="Heading2"/>
        <w:spacing w:after="160" w:before="300"/>
      </w:pPr>
      <w:r>
        <w:rPr>
          <w:rFonts w:ascii="Arial" w:cs="Arial" w:eastAsia="Arial" w:hAnsi="Arial"/>
          <w:b/>
          <w:bCs/>
          <w:color w:val="C9A84C"/>
          <w:sz w:val="28"/>
          <w:szCs w:val="28"/>
        </w:rPr>
        <w:t xml:space="preserve">Realistic Timeline</w:t>
      </w:r>
    </w:p>
    <w:p>
      <w:pPr>
        <w:spacing w:after="160" w:before="0"/>
      </w:pPr>
      <w:r>
        <w:rPr>
          <w:rFonts w:ascii="Arial" w:cs="Arial" w:eastAsia="Arial" w:hAnsi="Arial"/>
          <w:b w:val="false"/>
          <w:bCs w:val="false"/>
          <w:i w:val="false"/>
          <w:iCs w:val="false"/>
          <w:color w:val="1A1A2E"/>
          <w:sz w:val="22"/>
          <w:szCs w:val="22"/>
        </w:rPr>
        <w:t xml:space="preserve">Building to €1M ARR is a 3–5 year journey for a B2B SaaS product in a niche vertical, starting from zero. The typical SaaS growth curve for a product with strong product-market fit looks like this:</w:t>
      </w:r>
    </w:p>
    <w:p>
      <w:pPr>
        <w:pStyle w:val="ListParagraph"/>
        <w:numPr>
          <w:ilvl w:val="0"/>
          <w:numId w:val="2"/>
        </w:numPr>
        <w:spacing w:after="40" w:before="40"/>
      </w:pPr>
      <w:r>
        <w:rPr>
          <w:rFonts w:ascii="Arial" w:cs="Arial" w:eastAsia="Arial" w:hAnsi="Arial"/>
          <w:color w:val="222222"/>
          <w:sz w:val="20"/>
          <w:szCs w:val="20"/>
        </w:rPr>
        <w:t xml:space="preserve">Year 1 (0–12 months): 0 to €10K MRR (~230 seats). Hard. This is the phase of finding product-market fit, onboarding the first 20–50 accounts, and learning what studios actually need. Revenue is almost entirely Freelancer-tier early adopters who found the tool on LinkedIn, Twitter/X, or through direct outreach in the iGaming community.</w:t>
      </w:r>
    </w:p>
    <w:p>
      <w:pPr>
        <w:pStyle w:val="ListParagraph"/>
        <w:numPr>
          <w:ilvl w:val="0"/>
          <w:numId w:val="2"/>
        </w:numPr>
        <w:spacing w:after="40" w:before="40"/>
      </w:pPr>
      <w:r>
        <w:rPr>
          <w:rFonts w:ascii="Arial" w:cs="Arial" w:eastAsia="Arial" w:hAnsi="Arial"/>
          <w:color w:val="222222"/>
          <w:sz w:val="20"/>
          <w:szCs w:val="20"/>
        </w:rPr>
        <w:t xml:space="preserve">Year 2 (12–24 months): €10K to €40K MRR (~930 seats). Growth accelerates as word of mouth kicks in within the industry. iGaming is a small world — studios talk to each other at conferences (ICE, SiGMA, G2E). A few well-placed demos and case studies multiply reach disproportionately. This is also when the first Studio-tier accounts replace freelancer-tier accounts as small studios adopt the tool team-wide.</w:t>
      </w:r>
    </w:p>
    <w:p>
      <w:pPr>
        <w:pStyle w:val="ListParagraph"/>
        <w:numPr>
          <w:ilvl w:val="0"/>
          <w:numId w:val="2"/>
        </w:numPr>
        <w:spacing w:after="40" w:before="40"/>
      </w:pPr>
      <w:r>
        <w:rPr>
          <w:rFonts w:ascii="Arial" w:cs="Arial" w:eastAsia="Arial" w:hAnsi="Arial"/>
          <w:color w:val="222222"/>
          <w:sz w:val="20"/>
          <w:szCs w:val="20"/>
        </w:rPr>
        <w:t xml:space="preserve">Year 3 (24–36 months): €40K to €85K MRR (~2,000 seats). The €1M ARR milestone is achievable in this window. This phase is driven by expanding existing accounts (seat expansion within studios that adopted early), signing larger studios, and potentially the first Enterprise contract. At this stage, a part-time Customer Success hire accelerates expansion revenue.</w:t>
      </w:r>
    </w:p>
    <w:p>
      <w:pPr>
        <w:spacing w:after="200" w:before="0"/>
      </w:pPr>
      <w:r>
        <w:rPr>
          <w:rFonts w:ascii="Arial" w:cs="Arial" w:eastAsia="Arial" w:hAnsi="Arial"/>
          <w:b w:val="false"/>
          <w:bCs w:val="false"/>
          <w:i w:val="false"/>
          <w:iCs w:val="false"/>
          <w:color w:val="1A1A2E"/>
          <w:sz w:val="22"/>
          <w:szCs w:val="22"/>
        </w:rPr>
        <w:t xml:space="preserve">These numbers assume organic growth only — no paid acquisition, no dedicated sales team. If marketing investment is added (conference sponsorships, paid LinkedIn, a dedicated sales hire), Year 2–3 can be compressed significantly.</w:t>
      </w:r>
    </w:p>
    <w:p>
      <w:pPr>
        <w:pStyle w:val="Heading2"/>
        <w:spacing w:after="160" w:before="300"/>
      </w:pPr>
      <w:r>
        <w:rPr>
          <w:rFonts w:ascii="Arial" w:cs="Arial" w:eastAsia="Arial" w:hAnsi="Arial"/>
          <w:b/>
          <w:bCs/>
          <w:color w:val="C9A84C"/>
          <w:sz w:val="28"/>
          <w:szCs w:val="28"/>
        </w:rPr>
        <w:t xml:space="preserve">Key Risk Factors</w:t>
      </w:r>
    </w:p>
    <w:p>
      <w:pPr>
        <w:pStyle w:val="ListParagraph"/>
        <w:numPr>
          <w:ilvl w:val="0"/>
          <w:numId w:val="2"/>
        </w:numPr>
        <w:spacing w:after="40" w:before="40"/>
      </w:pPr>
      <w:r>
        <w:rPr>
          <w:rFonts w:ascii="Arial" w:cs="Arial" w:eastAsia="Arial" w:hAnsi="Arial"/>
          <w:color w:val="222222"/>
          <w:sz w:val="20"/>
          <w:szCs w:val="20"/>
        </w:rPr>
        <w:t xml:space="preserve">Customer concentration: If the first 10 accounts represent 70%+ of revenue and one churns, growth stalls. Diversification across tiers and geographies is critical early.</w:t>
      </w:r>
    </w:p>
    <w:p>
      <w:pPr>
        <w:pStyle w:val="ListParagraph"/>
        <w:numPr>
          <w:ilvl w:val="0"/>
          <w:numId w:val="2"/>
        </w:numPr>
        <w:spacing w:after="40" w:before="40"/>
      </w:pPr>
      <w:r>
        <w:rPr>
          <w:rFonts w:ascii="Arial" w:cs="Arial" w:eastAsia="Arial" w:hAnsi="Arial"/>
          <w:color w:val="222222"/>
          <w:sz w:val="20"/>
          <w:szCs w:val="20"/>
        </w:rPr>
        <w:t xml:space="preserve">AI cost creep: OpenAI pricing is not fixed. If gpt-image-1 costs rise, or if high-quality mode is required for more use cases, the margin structure changes. Mitigation: build a credit top-up economy so AI costs remain variable and explicit.</w:t>
      </w:r>
    </w:p>
    <w:p>
      <w:pPr>
        <w:pStyle w:val="ListParagraph"/>
        <w:numPr>
          <w:ilvl w:val="0"/>
          <w:numId w:val="2"/>
        </w:numPr>
        <w:spacing w:after="40" w:before="40"/>
      </w:pPr>
      <w:r>
        <w:rPr>
          <w:rFonts w:ascii="Arial" w:cs="Arial" w:eastAsia="Arial" w:hAnsi="Arial"/>
          <w:color w:val="222222"/>
          <w:sz w:val="20"/>
          <w:szCs w:val="20"/>
        </w:rPr>
        <w:t xml:space="preserve">Competitive entry: A well-funded competitor (or an existing design tool like Figma adding iGaming-specific AI features) could compress the available market. Mitigation: the domain specificity of Spinative (GDD parsing, slot-specific asset types, regulatory compliance knowledge) is a genuine moat that general-purpose tools cannot replicate quickly.</w:t>
      </w:r>
    </w:p>
    <w:p>
      <w:pPr>
        <w:pStyle w:val="ListParagraph"/>
        <w:numPr>
          <w:ilvl w:val="0"/>
          <w:numId w:val="2"/>
        </w:numPr>
        <w:spacing w:after="40" w:before="40"/>
      </w:pPr>
      <w:r>
        <w:rPr>
          <w:rFonts w:ascii="Arial" w:cs="Arial" w:eastAsia="Arial" w:hAnsi="Arial"/>
          <w:color w:val="222222"/>
          <w:sz w:val="20"/>
          <w:szCs w:val="20"/>
        </w:rPr>
        <w:t xml:space="preserve">Geographic complexity: Operating from Spain, invoicing across the EU, Malta, Gibraltar, and the UK introduces multi-jurisdiction VAT obligations as revenue grows. At €85K MRR you will need an accountant who understands digital services VAT (OSS / MOSS in EU). Budget for this.</w:t>
      </w:r>
    </w:p>
    <w:p>
      <w:pPr>
        <w:pStyle w:val="ListParagraph"/>
        <w:numPr>
          <w:ilvl w:val="0"/>
          <w:numId w:val="2"/>
        </w:numPr>
        <w:spacing w:after="40" w:before="40"/>
      </w:pPr>
      <w:r>
        <w:rPr>
          <w:rFonts w:ascii="Arial" w:cs="Arial" w:eastAsia="Arial" w:hAnsi="Arial"/>
          <w:color w:val="222222"/>
          <w:sz w:val="20"/>
          <w:szCs w:val="20"/>
        </w:rPr>
        <w:t xml:space="preserve">Churn: If monthly churn exceeds 3–4%, the accounts you close each month are replaced by new accounts just to stay flat. At early stage, every churned account is feedback. Build a recovery cadence (exit surveys, re-engagement emails) from day one.</w:t>
      </w:r>
    </w:p>
    <w:p>
      <w:pPr>
        <w:pStyle w:val="Heading2"/>
        <w:spacing w:after="160" w:before="300"/>
      </w:pPr>
      <w:r>
        <w:rPr>
          <w:rFonts w:ascii="Arial" w:cs="Arial" w:eastAsia="Arial" w:hAnsi="Arial"/>
          <w:b/>
          <w:bCs/>
          <w:color w:val="C9A84C"/>
          <w:sz w:val="28"/>
          <w:szCs w:val="28"/>
        </w:rPr>
        <w:t xml:space="preserve">The Personal €1M Question</w:t>
      </w:r>
    </w:p>
    <w:p>
      <w:pPr>
        <w:spacing w:after="160" w:before="0"/>
      </w:pPr>
      <w:r>
        <w:rPr>
          <w:rFonts w:ascii="Arial" w:cs="Arial" w:eastAsia="Arial" w:hAnsi="Arial"/>
          <w:b w:val="false"/>
          <w:bCs w:val="false"/>
          <w:i w:val="false"/>
          <w:iCs w:val="false"/>
          <w:color w:val="1A1A2E"/>
          <w:sz w:val="22"/>
          <w:szCs w:val="22"/>
        </w:rPr>
        <w:t xml:space="preserve">There is an important distinction between the business making €1M ARR and you personally making €1M. In a bootstrapped SaaS business, personal income is typically a mix of salary (drawn from the business) and eventual exit or dividend. Here is the realistic picture:</w:t>
      </w:r>
    </w:p>
    <w:p>
      <w:pPr>
        <w:pStyle w:val="ListParagraph"/>
        <w:numPr>
          <w:ilvl w:val="0"/>
          <w:numId w:val="2"/>
        </w:numPr>
        <w:spacing w:after="40" w:before="40"/>
      </w:pPr>
      <w:r>
        <w:rPr>
          <w:rFonts w:ascii="Arial" w:cs="Arial" w:eastAsia="Arial" w:hAnsi="Arial"/>
          <w:color w:val="222222"/>
          <w:sz w:val="20"/>
          <w:szCs w:val="20"/>
        </w:rPr>
        <w:t xml:space="preserve">At €83K MRR with ~66% gross margin, gross contribution is roughly €55K/month before fixed costs (hosting ~€500, tools ~€200, accounting ~€300 = ~€1,000/month fixed). Operating profit is approximately €54K/month, or €648K/year.</w:t>
      </w:r>
    </w:p>
    <w:p>
      <w:pPr>
        <w:pStyle w:val="ListParagraph"/>
        <w:numPr>
          <w:ilvl w:val="0"/>
          <w:numId w:val="2"/>
        </w:numPr>
        <w:spacing w:after="40" w:before="40"/>
      </w:pPr>
      <w:r>
        <w:rPr>
          <w:rFonts w:ascii="Arial" w:cs="Arial" w:eastAsia="Arial" w:hAnsi="Arial"/>
          <w:color w:val="222222"/>
          <w:sz w:val="20"/>
          <w:szCs w:val="20"/>
        </w:rPr>
        <w:t xml:space="preserve">From that, draw a market-rate salary (€60–80K/year for an Art Director / founder in Spain). After salary and Spanish corporate tax (IS at 15% for new companies in years 1–2, then 25%), the business generates meaningful retained earnings.</w:t>
      </w:r>
    </w:p>
    <w:p>
      <w:pPr>
        <w:pStyle w:val="ListParagraph"/>
        <w:numPr>
          <w:ilvl w:val="0"/>
          <w:numId w:val="2"/>
        </w:numPr>
        <w:spacing w:after="40" w:before="40"/>
      </w:pPr>
      <w:r>
        <w:rPr>
          <w:rFonts w:ascii="Arial" w:cs="Arial" w:eastAsia="Arial" w:hAnsi="Arial"/>
          <w:color w:val="222222"/>
          <w:sz w:val="20"/>
          <w:szCs w:val="20"/>
        </w:rPr>
        <w:t xml:space="preserve">The faster path to personal net worth of €1M is through company valuation, not income. B2B SaaS companies are typically valued at 5–10× ARR. At €1M ARR, Spinative has a market value of €5M–€10M. A partial exit (selling 30–40% to a strategic buyer or growth investor) while retaining operational control is a realistic path to personal liquidity of €1.5M–€4M.</w:t>
      </w:r>
    </w:p>
    <w:p>
      <w:pPr>
        <w:spacing w:after="200" w:before="0"/>
      </w:pPr>
      <w:r>
        <w:rPr>
          <w:rFonts w:ascii="Arial" w:cs="Arial" w:eastAsia="Arial" w:hAnsi="Arial"/>
          <w:b w:val="false"/>
          <w:bCs w:val="false"/>
          <w:i/>
          <w:iCs/>
          <w:color w:val="7F8C8D"/>
          <w:sz w:val="22"/>
          <w:szCs w:val="22"/>
        </w:rPr>
        <w:t xml:space="preserve">The most realistic path to personally crossing the €1M net-worth mark from Spinative is to build the product to €500K–€1M ARR over 3–5 years, then either sell a minority stake or sell outright. The per-seat SaaS model described here is the right commercial foundation to make that happen.</w:t>
      </w:r>
    </w:p>
    <w:p>
      <w:r>
        <w:br w:type="page"/>
      </w:r>
    </w:p>
    <w:p>
      <w:pPr>
        <w:pStyle w:val="Heading1"/>
        <w:spacing w:after="200" w:before="400"/>
      </w:pPr>
      <w:r>
        <w:rPr>
          <w:rFonts w:ascii="Arial" w:cs="Arial" w:eastAsia="Arial" w:hAnsi="Arial"/>
          <w:b/>
          <w:bCs/>
          <w:color w:val="1A1A2E"/>
          <w:sz w:val="36"/>
          <w:szCs w:val="36"/>
        </w:rPr>
        <w:t xml:space="preserve">7. Recommended Next Steps</w:t>
      </w:r>
    </w:p>
    <w:p>
      <w:pPr>
        <w:pBdr>
          <w:bottom w:val="single" w:color="C9A84C" w:sz="4" w:space="1"/>
        </w:pBdr>
        <w:spacing w:after="160" w:before="160"/>
      </w:pPr>
      <w:r>
        <w:t xml:space="preserve"/>
      </w:r>
    </w:p>
    <w:p>
      <w:pPr>
        <w:spacing w:after="200" w:before="0"/>
      </w:pPr>
      <w:r>
        <w:rPr>
          <w:rFonts w:ascii="Arial" w:cs="Arial" w:eastAsia="Arial" w:hAnsi="Arial"/>
          <w:b w:val="false"/>
          <w:bCs w:val="false"/>
          <w:i w:val="false"/>
          <w:iCs w:val="false"/>
          <w:color w:val="1A1A2E"/>
          <w:sz w:val="22"/>
          <w:szCs w:val="22"/>
        </w:rPr>
        <w:t xml:space="preserve">Based on the model above, the most important commercial actions for the next 90 days are:</w:t>
      </w:r>
    </w:p>
    <w:p>
      <w:pPr>
        <w:pStyle w:val="Heading3"/>
        <w:spacing w:after="120" w:before="200"/>
      </w:pPr>
      <w:r>
        <w:rPr>
          <w:rFonts w:ascii="Arial" w:cs="Arial" w:eastAsia="Arial" w:hAnsi="Arial"/>
          <w:b/>
          <w:bCs/>
          <w:color w:val="2D2D4A"/>
          <w:sz w:val="24"/>
          <w:szCs w:val="24"/>
        </w:rPr>
        <w:t xml:space="preserve">Immediate (this month)</w:t>
      </w:r>
    </w:p>
    <w:p>
      <w:pPr>
        <w:pStyle w:val="ListParagraph"/>
        <w:numPr>
          <w:ilvl w:val="0"/>
          <w:numId w:val="2"/>
        </w:numPr>
        <w:spacing w:after="40" w:before="40"/>
      </w:pPr>
      <w:r>
        <w:rPr>
          <w:rFonts w:ascii="Arial" w:cs="Arial" w:eastAsia="Arial" w:hAnsi="Arial"/>
          <w:color w:val="222222"/>
          <w:sz w:val="20"/>
          <w:szCs w:val="20"/>
        </w:rPr>
        <w:t xml:space="preserve">Finalise the Stripe product configuration: two price IDs (Freelancer €29, Studio €49), monthly billing, per-seat quantity.</w:t>
      </w:r>
    </w:p>
    <w:p>
      <w:pPr>
        <w:pStyle w:val="ListParagraph"/>
        <w:numPr>
          <w:ilvl w:val="0"/>
          <w:numId w:val="2"/>
        </w:numPr>
        <w:spacing w:after="40" w:before="40"/>
      </w:pPr>
      <w:r>
        <w:rPr>
          <w:rFonts w:ascii="Arial" w:cs="Arial" w:eastAsia="Arial" w:hAnsi="Arial"/>
          <w:color w:val="222222"/>
          <w:sz w:val="20"/>
          <w:szCs w:val="20"/>
        </w:rPr>
        <w:t xml:space="preserve">Set up Stripe Tax to handle VAT calculation automatically — it handles EU OSS, UK VAT, and non-EU zero-rating without manual logic.</w:t>
      </w:r>
    </w:p>
    <w:p>
      <w:pPr>
        <w:pStyle w:val="ListParagraph"/>
        <w:numPr>
          <w:ilvl w:val="0"/>
          <w:numId w:val="2"/>
        </w:numPr>
        <w:spacing w:after="40" w:before="40"/>
      </w:pPr>
      <w:r>
        <w:rPr>
          <w:rFonts w:ascii="Arial" w:cs="Arial" w:eastAsia="Arial" w:hAnsi="Arial"/>
          <w:color w:val="222222"/>
          <w:sz w:val="20"/>
          <w:szCs w:val="20"/>
        </w:rPr>
        <w:t xml:space="preserve">Add the credit allocation table to the database: each seat type has an included_credits value, and usage is tracked against a monthly counter.</w:t>
      </w:r>
    </w:p>
    <w:p>
      <w:pPr>
        <w:pStyle w:val="ListParagraph"/>
        <w:numPr>
          <w:ilvl w:val="0"/>
          <w:numId w:val="2"/>
        </w:numPr>
        <w:spacing w:after="40" w:before="40"/>
      </w:pPr>
      <w:r>
        <w:rPr>
          <w:rFonts w:ascii="Arial" w:cs="Arial" w:eastAsia="Arial" w:hAnsi="Arial"/>
          <w:color w:val="222222"/>
          <w:sz w:val="20"/>
          <w:szCs w:val="20"/>
        </w:rPr>
        <w:t xml:space="preserve">Build the upgrade prompt UX: when a Free user hits a locked feature, show a clear, compelling upgrade modal with the tier comparison and a direct link to checkout.</w:t>
      </w:r>
    </w:p>
    <w:p>
      <w:pPr>
        <w:spacing w:after="80" w:before="80"/>
      </w:pPr>
      <w:r>
        <w:t xml:space="preserve"/>
      </w:r>
    </w:p>
    <w:p>
      <w:pPr>
        <w:pStyle w:val="Heading3"/>
        <w:spacing w:after="120" w:before="200"/>
      </w:pPr>
      <w:r>
        <w:rPr>
          <w:rFonts w:ascii="Arial" w:cs="Arial" w:eastAsia="Arial" w:hAnsi="Arial"/>
          <w:b/>
          <w:bCs/>
          <w:color w:val="2D2D4A"/>
          <w:sz w:val="24"/>
          <w:szCs w:val="24"/>
        </w:rPr>
        <w:t xml:space="preserve">Short-term (30–60 days)</w:t>
      </w:r>
    </w:p>
    <w:p>
      <w:pPr>
        <w:pStyle w:val="ListParagraph"/>
        <w:numPr>
          <w:ilvl w:val="0"/>
          <w:numId w:val="2"/>
        </w:numPr>
        <w:spacing w:after="40" w:before="40"/>
      </w:pPr>
      <w:r>
        <w:rPr>
          <w:rFonts w:ascii="Arial" w:cs="Arial" w:eastAsia="Arial" w:hAnsi="Arial"/>
          <w:color w:val="222222"/>
          <w:sz w:val="20"/>
          <w:szCs w:val="20"/>
        </w:rPr>
        <w:t xml:space="preserve">Launch to 10 beta users — target art directors and producers in the iGaming industry who you know personally from Accamax or the wider industry network. Offer 3 months free in exchange for feedback and a case study.</w:t>
      </w:r>
    </w:p>
    <w:p>
      <w:pPr>
        <w:pStyle w:val="ListParagraph"/>
        <w:numPr>
          <w:ilvl w:val="0"/>
          <w:numId w:val="2"/>
        </w:numPr>
        <w:spacing w:after="40" w:before="40"/>
      </w:pPr>
      <w:r>
        <w:rPr>
          <w:rFonts w:ascii="Arial" w:cs="Arial" w:eastAsia="Arial" w:hAnsi="Arial"/>
          <w:color w:val="222222"/>
          <w:sz w:val="20"/>
          <w:szCs w:val="20"/>
        </w:rPr>
        <w:t xml:space="preserve">Establish a pricing page with the tier comparison table, a clear value proposition, and social proof (even a single testimonial from a respected studio Art Director has outsized impact in this niche community).</w:t>
      </w:r>
    </w:p>
    <w:p>
      <w:pPr>
        <w:pStyle w:val="ListParagraph"/>
        <w:numPr>
          <w:ilvl w:val="0"/>
          <w:numId w:val="2"/>
        </w:numPr>
        <w:spacing w:after="40" w:before="40"/>
      </w:pPr>
      <w:r>
        <w:rPr>
          <w:rFonts w:ascii="Arial" w:cs="Arial" w:eastAsia="Arial" w:hAnsi="Arial"/>
          <w:color w:val="222222"/>
          <w:sz w:val="20"/>
          <w:szCs w:val="20"/>
        </w:rPr>
        <w:t xml:space="preserve">Configure Stripe Customer Portal so subscribers can manage seats, cancel, and update payment details without contacting support.</w:t>
      </w:r>
    </w:p>
    <w:p>
      <w:pPr>
        <w:spacing w:after="80" w:before="80"/>
      </w:pPr>
      <w:r>
        <w:t xml:space="preserve"/>
      </w:r>
    </w:p>
    <w:p>
      <w:pPr>
        <w:pStyle w:val="Heading3"/>
        <w:spacing w:after="120" w:before="200"/>
      </w:pPr>
      <w:r>
        <w:rPr>
          <w:rFonts w:ascii="Arial" w:cs="Arial" w:eastAsia="Arial" w:hAnsi="Arial"/>
          <w:b/>
          <w:bCs/>
          <w:color w:val="2D2D4A"/>
          <w:sz w:val="24"/>
          <w:szCs w:val="24"/>
        </w:rPr>
        <w:t xml:space="preserve">Medium-term (60–90 days)</w:t>
      </w:r>
    </w:p>
    <w:p>
      <w:pPr>
        <w:pStyle w:val="ListParagraph"/>
        <w:numPr>
          <w:ilvl w:val="0"/>
          <w:numId w:val="2"/>
        </w:numPr>
        <w:spacing w:after="40" w:before="40"/>
      </w:pPr>
      <w:r>
        <w:rPr>
          <w:rFonts w:ascii="Arial" w:cs="Arial" w:eastAsia="Arial" w:hAnsi="Arial"/>
          <w:color w:val="222222"/>
          <w:sz w:val="20"/>
          <w:szCs w:val="20"/>
        </w:rPr>
        <w:t xml:space="preserve">Target the first 5 paying Studio accounts. At an average of 5 seats, this means 25 paid seats and ~€1,225 MRR — a small number, but proof that the commercial model works.</w:t>
      </w:r>
    </w:p>
    <w:p>
      <w:pPr>
        <w:pStyle w:val="ListParagraph"/>
        <w:numPr>
          <w:ilvl w:val="0"/>
          <w:numId w:val="2"/>
        </w:numPr>
        <w:spacing w:after="40" w:before="40"/>
      </w:pPr>
      <w:r>
        <w:rPr>
          <w:rFonts w:ascii="Arial" w:cs="Arial" w:eastAsia="Arial" w:hAnsi="Arial"/>
          <w:color w:val="222222"/>
          <w:sz w:val="20"/>
          <w:szCs w:val="20"/>
        </w:rPr>
        <w:t xml:space="preserve">Attend or sponsor one iGaming conference. ICE (London, February) and SiGMA (Malta, November) are the two most important for meeting studio buyers. A well-prepared demo at a booth or a side-event talk can close 5–10 accounts in a single week.</w:t>
      </w:r>
    </w:p>
    <w:p>
      <w:pPr>
        <w:pStyle w:val="ListParagraph"/>
        <w:numPr>
          <w:ilvl w:val="0"/>
          <w:numId w:val="2"/>
        </w:numPr>
        <w:spacing w:after="40" w:before="40"/>
      </w:pPr>
      <w:r>
        <w:rPr>
          <w:rFonts w:ascii="Arial" w:cs="Arial" w:eastAsia="Arial" w:hAnsi="Arial"/>
          <w:color w:val="222222"/>
          <w:sz w:val="20"/>
          <w:szCs w:val="20"/>
        </w:rPr>
        <w:t xml:space="preserve">Set up basic SaaS metrics tracking: MRR, churn rate, seat expansion rate, credit utilisation per account. These numbers are your compass for all future decisions.</w:t>
      </w:r>
    </w:p>
    <w:p>
      <w:pPr>
        <w:spacing w:after="80" w:before="80"/>
      </w:pPr>
      <w:r>
        <w:t xml:space="preserve"/>
      </w:r>
    </w:p>
    <w:p>
      <w:pPr>
        <w:pBdr>
          <w:bottom w:val="single" w:color="C9A84C" w:sz="4" w:space="1"/>
        </w:pBdr>
        <w:spacing w:after="160" w:before="160"/>
      </w:pPr>
      <w:r>
        <w:t xml:space="preserve"/>
      </w:r>
    </w:p>
    <w:p>
      <w:pPr>
        <w:spacing w:after="80" w:before="80"/>
      </w:pPr>
      <w:r>
        <w:t xml:space="preserve"/>
      </w:r>
    </w:p>
    <w:p>
      <w:pPr>
        <w:spacing w:after="300" w:before="300"/>
        <w:jc w:val="center"/>
      </w:pPr>
      <w:r>
        <w:rPr>
          <w:rFonts w:ascii="Arial" w:cs="Arial" w:eastAsia="Arial" w:hAnsi="Arial"/>
          <w:i/>
          <w:iCs/>
          <w:color w:val="7F8C8D"/>
          <w:sz w:val="22"/>
          <w:szCs w:val="22"/>
        </w:rPr>
        <w:t xml:space="preserve">Spinative — Built in Málaga, made for the world's slot studios.</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7F8C8D"/>
        <w:sz w:val="18"/>
        <w:szCs w:val="18"/>
      </w:rPr>
      <w:t xml:space="preserve">Confidential — April 2026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160"/>
      <w:jc w:val="right"/>
    </w:pPr>
    <w:r>
      <w:rPr>
        <w:rFonts w:ascii="Arial" w:cs="Arial" w:eastAsia="Arial" w:hAnsi="Arial"/>
        <w:b/>
        <w:bCs/>
        <w:color w:val="C9A84C"/>
        <w:sz w:val="18"/>
        <w:szCs w:val="18"/>
      </w:rPr>
      <w:t xml:space="preserve">Spinative  </w:t>
    </w:r>
    <w:r>
      <w:rPr>
        <w:rFonts w:ascii="Arial" w:cs="Arial" w:eastAsia="Arial" w:hAnsi="Arial"/>
        <w:color w:val="7F8C8D"/>
        <w:sz w:val="18"/>
        <w:szCs w:val="18"/>
      </w:rPr>
      <w:t xml:space="preserve">— Pricing Strategy &amp; Revenue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C9A84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2026-04-17T17:09:22.042Z</dcterms:created>
  <dcterms:modified xsi:type="dcterms:W3CDTF">2026-04-17T17:09:22.042Z</dcterms:modified>
</cp:coreProperties>
</file>

<file path=docProps/custom.xml><?xml version="1.0" encoding="utf-8"?>
<Properties xmlns="http://schemas.openxmlformats.org/officeDocument/2006/custom-properties" xmlns:vt="http://schemas.openxmlformats.org/officeDocument/2006/docPropsVTypes"/>
</file>