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elisa-report-generation"/>
    <w:p>
      <w:pPr>
        <w:pStyle w:val="Heading1"/>
      </w:pPr>
      <w:r>
        <w:t xml:space="preserve">ELISA Report Generation</w:t>
      </w:r>
    </w:p>
    <w:p>
      <w:pPr>
        <w:pStyle w:val="FirstParagraph"/>
      </w:pPr>
      <w:r>
        <w:t xml:space="preserve">Python project for automatic report generation from Hamilton measurements.</w:t>
      </w:r>
    </w:p>
    <w:bookmarkStart w:id="22" w:name="prerequisities"/>
    <w:p>
      <w:pPr>
        <w:pStyle w:val="Heading2"/>
      </w:pPr>
      <w:r>
        <w:t xml:space="preserve">Prerequisities</w:t>
      </w:r>
    </w:p>
    <w:p>
      <w:pPr>
        <w:pStyle w:val="FirstParagraph"/>
      </w:pPr>
      <w:r>
        <w:t xml:space="preserve">To install python libraries use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FirstParagraph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 </w:t>
      </w:r>
      <w:r>
        <w:t xml:space="preserve">frpm</w:t>
      </w:r>
      <w:r>
        <w:t xml:space="preserve"> </w:t>
      </w:r>
      <w:hyperlink r:id="rId2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website.</w:t>
      </w:r>
    </w:p>
    <w:p>
      <w:pPr>
        <w:pStyle w:val="BodyText"/>
      </w:pPr>
      <w:r>
        <w:t xml:space="preserve">Install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from any of the</w:t>
      </w:r>
      <w:r>
        <w:t xml:space="preserve"> </w:t>
      </w:r>
      <w:hyperlink r:id="rId21">
        <w:r>
          <w:rPr>
            <w:rStyle w:val="Hyperlink"/>
          </w:rPr>
          <w:t xml:space="preserve">distributions</w:t>
        </w:r>
      </w:hyperlink>
      <w:r>
        <w:t xml:space="preserve">.</w:t>
      </w:r>
    </w:p>
    <w:bookmarkEnd w:id="22"/>
    <w:bookmarkStart w:id="23" w:name="buld-distribution-of-elisarep"/>
    <w:p>
      <w:pPr>
        <w:pStyle w:val="Heading2"/>
      </w:pPr>
      <w:r>
        <w:t xml:space="preserve">Buld distribution of</w:t>
      </w:r>
      <w:r>
        <w:t xml:space="preserve"> </w:t>
      </w:r>
      <w:r>
        <w:rPr>
          <w:rStyle w:val="VerbatimChar"/>
        </w:rPr>
        <w:t xml:space="preserve">elisarep</w:t>
      </w:r>
    </w:p>
    <w:p>
      <w:pPr>
        <w:pStyle w:val="FirstParagraph"/>
      </w:pPr>
      <w:r>
        <w:t xml:space="preserve">For experts only.</w:t>
      </w:r>
      <w:r>
        <w:br/>
      </w:r>
      <w:r>
        <w:t xml:space="preserve">To build a hemrep library execute following command: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--sdist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--wheel</w:t>
      </w:r>
    </w:p>
    <w:bookmarkEnd w:id="23"/>
    <w:bookmarkStart w:id="29" w:name="running-the-script"/>
    <w:p>
      <w:pPr>
        <w:pStyle w:val="Heading2"/>
      </w:pPr>
      <w:r>
        <w:t xml:space="preserve">Running the script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.</w:t>
      </w:r>
      <w:r>
        <w:rPr>
          <w:rStyle w:val="DataTypeTok"/>
        </w:rPr>
        <w:t xml:space="preserve">\r</w:t>
      </w:r>
      <w:r>
        <w:rPr>
          <w:rStyle w:val="NormalTok"/>
        </w:rPr>
        <w:t xml:space="preserve">eport_gen.py </w:t>
      </w:r>
      <w:r>
        <w:rPr>
          <w:rStyle w:val="AttributeTok"/>
        </w:rPr>
        <w:t xml:space="preserve">--help</w:t>
      </w:r>
      <w:r>
        <w:br/>
      </w:r>
      <w:r>
        <w:br/>
      </w:r>
      <w:r>
        <w:rPr>
          <w:rStyle w:val="ExtensionTok"/>
        </w:rPr>
        <w:t xml:space="preserve">usage:</w:t>
      </w:r>
      <w:r>
        <w:rPr>
          <w:rStyle w:val="NormalTok"/>
        </w:rPr>
        <w:t xml:space="preserve"> report_gen.py </w:t>
      </w:r>
      <w:r>
        <w:rPr>
          <w:rStyle w:val="PreprocessorTok"/>
        </w:rPr>
        <w:t xml:space="preserve">[-</w:t>
      </w:r>
      <w:r>
        <w:rPr>
          <w:rStyle w:val="SpecialStringTok"/>
        </w:rPr>
        <w:t xml:space="preserve">h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[--analysis ANALYSIS] [--cfg CFG]</w:t>
      </w:r>
      <w:r>
        <w:br/>
      </w:r>
      <w:r>
        <w:rPr>
          <w:rStyle w:val="NormalTok"/>
        </w:rPr>
        <w:t xml:space="preserve">                     </w:t>
      </w:r>
      <w:r>
        <w:rPr>
          <w:rStyle w:val="ExtensionTok"/>
        </w:rPr>
        <w:t xml:space="preserve">[--ifld</w:t>
      </w:r>
      <w:r>
        <w:rPr>
          <w:rStyle w:val="NormalTok"/>
        </w:rPr>
        <w:t xml:space="preserve"> IFLD]</w:t>
      </w:r>
      <w:r>
        <w:br/>
      </w:r>
      <w:r>
        <w:br/>
      </w:r>
      <w:r>
        <w:rPr>
          <w:rStyle w:val="ExtensionTok"/>
        </w:rPr>
        <w:t xml:space="preserve">options: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-h,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--help</w:t>
      </w:r>
      <w:r>
        <w:rPr>
          <w:rStyle w:val="NormalTok"/>
        </w:rPr>
        <w:t xml:space="preserve">           show this help message and exit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--analysis</w:t>
      </w:r>
      <w:r>
        <w:rPr>
          <w:rStyle w:val="NormalTok"/>
        </w:rPr>
        <w:t xml:space="preserve"> ANALYSIS  analysis directory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--cfg</w:t>
      </w:r>
      <w:r>
        <w:rPr>
          <w:rStyle w:val="NormalTok"/>
        </w:rPr>
        <w:t xml:space="preserve"> CFG            config and params directory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--ifld</w:t>
      </w:r>
      <w:r>
        <w:rPr>
          <w:rStyle w:val="NormalTok"/>
        </w:rPr>
        <w:t xml:space="preserve"> IFLD          initial analysis folder</w:t>
      </w:r>
    </w:p>
    <w:p>
      <w:pPr>
        <w:pStyle w:val="FirstParagraph"/>
      </w:pPr>
      <w:r>
        <w:rPr>
          <w:rStyle w:val="VerbatimChar"/>
        </w:rPr>
        <w:t xml:space="preserve">--cgf</w:t>
      </w:r>
      <w:r>
        <w:t xml:space="preserve"> </w:t>
      </w:r>
      <w:r>
        <w:t xml:space="preserve">is path to the configuration directory.</w:t>
      </w:r>
      <w:r>
        <w:br/>
      </w:r>
      <w:r>
        <w:rPr>
          <w:rStyle w:val="VerbatimChar"/>
        </w:rPr>
        <w:t xml:space="preserve">--ifld</w:t>
      </w:r>
      <w:r>
        <w:t xml:space="preserve"> </w:t>
      </w:r>
      <w:r>
        <w:t xml:space="preserve">set an initial folder where GUI analysis folder shall open at start.</w:t>
      </w:r>
    </w:p>
    <w:p>
      <w:pPr>
        <w:pStyle w:val="CaptionedFigure"/>
      </w:pPr>
      <w:r>
        <w:drawing>
          <wp:inline>
            <wp:extent cx="5486400" cy="900051"/>
            <wp:effectExtent b="0" l="0" r="0" t="0"/>
            <wp:docPr descr="gui" title="" id="25" name="Picture"/>
            <a:graphic>
              <a:graphicData uri="http://schemas.openxmlformats.org/drawingml/2006/picture">
                <pic:pic>
                  <pic:nvPicPr>
                    <pic:cNvPr descr="media/gui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0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gui</w:t>
      </w:r>
    </w:p>
    <w:p>
      <w:pPr>
        <w:pStyle w:val="BodyText"/>
      </w:pPr>
      <w:r>
        <w:rPr>
          <w:rStyle w:val="VerbatimChar"/>
        </w:rPr>
        <w:t xml:space="preserve">--analysis</w:t>
      </w:r>
      <w:r>
        <w:t xml:space="preserve"> </w:t>
      </w:r>
      <w:r>
        <w:t xml:space="preserve">is path to a folder with finished Hamilton analysis, e.g. </w:t>
      </w:r>
      <w:r>
        <w:rPr>
          <w:rStyle w:val="VerbatimChar"/>
        </w:rPr>
        <w:t xml:space="preserve">C:/work/hamilton/230801_AAV9-ELISA_sey_GN004240-053</w:t>
      </w:r>
      <w:r>
        <w:br/>
      </w:r>
      <w:r>
        <w:t xml:space="preserve">If analysis directory is not given, GUI window opens to select the diectory.</w:t>
      </w:r>
      <w:r>
        <w:br/>
      </w:r>
      <w:r>
        <w:rPr>
          <w:bCs/>
          <w:b/>
        </w:rPr>
        <w:t xml:space="preserve">Analysis folder name is parsed to retrieve certain analysis information!</w:t>
      </w:r>
      <w:r>
        <w:br/>
      </w:r>
      <w:r>
        <w:t xml:space="preserve">The structume shall be</w:t>
      </w:r>
      <w:r>
        <w:t xml:space="preserve"> </w:t>
      </w:r>
      <w:r>
        <w:rPr>
          <w:rStyle w:val="VerbatimChar"/>
        </w:rPr>
        <w:t xml:space="preserve">[DATE]_[METHOD]_[USER]_[GN]</w:t>
      </w:r>
      <w:r>
        <w:t xml:space="preserve">, where the fields are separated by underscore character</w:t>
      </w:r>
      <w:r>
        <w:t xml:space="preserve"> </w:t>
      </w:r>
      <w:r>
        <w:rPr>
          <w:rStyle w:val="VerbatimChar"/>
        </w:rPr>
        <w:t xml:space="preserve">_</w:t>
      </w:r>
      <w:r>
        <w:br/>
      </w:r>
      <w:r>
        <w:t xml:space="preserve">where</w:t>
      </w:r>
      <w:r>
        <w:br/>
      </w:r>
      <w:r>
        <w:rPr>
          <w:rStyle w:val="VerbatimChar"/>
        </w:rPr>
        <w:t xml:space="preserve">[DATE]</w:t>
      </w:r>
      <w:r>
        <w:t xml:space="preserve"> </w:t>
      </w:r>
      <w:r>
        <w:t xml:space="preserve">is a date in format</w:t>
      </w:r>
      <w:r>
        <w:t xml:space="preserve"> </w:t>
      </w:r>
      <w:r>
        <w:rPr>
          <w:rStyle w:val="VerbatimChar"/>
        </w:rPr>
        <w:t xml:space="preserve">%y%m%d</w:t>
      </w:r>
      <w:r>
        <w:t xml:space="preserve"> </w:t>
      </w:r>
      <w:r>
        <w:t xml:space="preserve">(</w:t>
      </w:r>
      <w:r>
        <w:rPr>
          <w:iCs/>
          <w:i/>
        </w:rPr>
        <w:t xml:space="preserve">230801</w:t>
      </w:r>
      <w:r>
        <w:t xml:space="preserve">)</w:t>
      </w:r>
      <w:r>
        <w:br/>
      </w:r>
      <w:r>
        <w:rPr>
          <w:rStyle w:val="VerbatimChar"/>
        </w:rPr>
        <w:t xml:space="preserve">[GN]</w:t>
      </w:r>
      <w:r>
        <w:t xml:space="preserve"> </w:t>
      </w:r>
      <w:r>
        <w:t xml:space="preserve">is analysis identifier (</w:t>
      </w:r>
      <w:r>
        <w:rPr>
          <w:iCs/>
          <w:i/>
        </w:rPr>
        <w:t xml:space="preserve">GN004240-033</w:t>
      </w:r>
      <w:r>
        <w:t xml:space="preserve">)</w:t>
      </w:r>
      <w:r>
        <w:br/>
      </w:r>
      <w:r>
        <w:rPr>
          <w:rStyle w:val="VerbatimChar"/>
        </w:rPr>
        <w:t xml:space="preserve">[PROTOCOL]</w:t>
      </w:r>
      <w:r>
        <w:t xml:space="preserve"> </w:t>
      </w:r>
      <w:r>
        <w:t xml:space="preserve">is a protocol name (</w:t>
      </w:r>
      <w:r>
        <w:rPr>
          <w:iCs/>
          <w:i/>
        </w:rPr>
        <w:t xml:space="preserve">AAV9-ELISA</w:t>
      </w:r>
      <w:r>
        <w:t xml:space="preserve">)</w:t>
      </w:r>
      <w:r>
        <w:br/>
      </w:r>
      <w:r>
        <w:rPr>
          <w:rStyle w:val="VerbatimChar"/>
        </w:rPr>
        <w:t xml:space="preserve">[USER]</w:t>
      </w:r>
      <w:r>
        <w:t xml:space="preserve"> </w:t>
      </w:r>
      <w:r>
        <w:t xml:space="preserve">is user name/code (</w:t>
      </w:r>
      <w:r>
        <w:rPr>
          <w:iCs/>
          <w:i/>
        </w:rPr>
        <w:t xml:space="preserve">sey</w:t>
      </w:r>
      <w:r>
        <w:t xml:space="preserve">)</w:t>
      </w:r>
    </w:p>
    <w:p>
      <w:pPr>
        <w:pStyle w:val="BodyText"/>
      </w:pPr>
      <w:r>
        <w:t xml:space="preserve">The working directory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following files in given format: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[DATE]_[GN]_-_worklist-ELISA.xls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[DATE]_[GN]_-_[PROTOCOL]_Parameters.csv</w:t>
      </w:r>
    </w:p>
    <w:p>
      <w:pPr>
        <w:pStyle w:val="FirstParagraph"/>
      </w:pPr>
      <w:r>
        <w:t xml:space="preserve">Examples:</w:t>
      </w:r>
      <w:r>
        <w:br/>
      </w:r>
      <w:r>
        <w:rPr>
          <w:rStyle w:val="VerbatimChar"/>
        </w:rPr>
        <w:t xml:space="preserve">230426_GN004240-033_-_worklist-ELISA.xls</w:t>
      </w:r>
      <w:r>
        <w:br/>
      </w:r>
      <w:r>
        <w:rPr>
          <w:rStyle w:val="VerbatimChar"/>
        </w:rPr>
        <w:t xml:space="preserve">230426_GN004240-033_-_AAV9-ELISA_Parameters.csv</w:t>
      </w:r>
    </w:p>
    <w:bookmarkStart w:id="27" w:name="config-file-config.json"/>
    <w:p>
      <w:pPr>
        <w:pStyle w:val="Heading3"/>
      </w:pPr>
      <w:r>
        <w:t xml:space="preserve">Config file</w:t>
      </w:r>
      <w:r>
        <w:t xml:space="preserve"> </w:t>
      </w:r>
      <w:r>
        <w:rPr>
          <w:rStyle w:val="VerbatimChar"/>
        </w:rPr>
        <w:t xml:space="preserve">config.json</w:t>
      </w:r>
    </w:p>
    <w:p>
      <w:pPr>
        <w:pStyle w:val="FirstParagraph"/>
      </w:pPr>
      <w:r>
        <w:t xml:space="preserve">Command line argument is used to define a folder containing configuration file, and other files necessary to execute</w:t>
      </w:r>
      <w:r>
        <w:t xml:space="preserve"> </w:t>
      </w:r>
      <w:r>
        <w:rPr>
          <w:rStyle w:val="VerbatimChar"/>
        </w:rPr>
        <w:t xml:space="preserve">report_gen.py</w:t>
      </w:r>
      <w:r>
        <w:t xml:space="preserve"> </w:t>
      </w:r>
      <w:r>
        <w:t xml:space="preserve">programm.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report_gen.py </w:t>
      </w:r>
      <w:r>
        <w:rPr>
          <w:rStyle w:val="AttributeTok"/>
        </w:rPr>
        <w:t xml:space="preserve">--cfg</w:t>
      </w:r>
      <w:r>
        <w:rPr>
          <w:rStyle w:val="NormalTok"/>
        </w:rPr>
        <w:t xml:space="preserve"> ./data</w:t>
      </w:r>
    </w:p>
    <w:p>
      <w:pPr>
        <w:pStyle w:val="FirstParagraph"/>
      </w:pPr>
      <w:r>
        <w:rPr>
          <w:bCs/>
          <w:b/>
        </w:rPr>
        <w:t xml:space="preserve">Important: if relative path is used for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--cfg</w:t>
      </w:r>
      <w:r>
        <w:rPr>
          <w:bCs/>
          <w:b/>
        </w:rPr>
        <w:t xml:space="preserve"> </w:t>
      </w:r>
      <w:r>
        <w:rPr>
          <w:bCs/>
          <w:b/>
        </w:rPr>
        <w:t xml:space="preserve">argument, the path is relative to the current execution/working directory!</w:t>
      </w:r>
      <w:r>
        <w:br/>
      </w:r>
      <w:r>
        <w:t xml:space="preserve">To make sure intended folder path is used, provide absolute path.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report_gen.py </w:t>
      </w:r>
      <w:r>
        <w:rPr>
          <w:rStyle w:val="AttributeTok"/>
        </w:rPr>
        <w:t xml:space="preserve">--cfg</w:t>
      </w:r>
      <w:r>
        <w:rPr>
          <w:rStyle w:val="NormalTok"/>
        </w:rPr>
        <w:t xml:space="preserve"> C:/work/elisa-report/data</w:t>
      </w:r>
    </w:p>
    <w:p>
      <w:pPr>
        <w:pStyle w:val="FirstParagraph"/>
      </w:pPr>
      <w:r>
        <w:t xml:space="preserve">Configuration file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is a json format file containing configurable parameters. It could be located in either default folder</w:t>
      </w:r>
      <w:r>
        <w:t xml:space="preserve"> </w:t>
      </w:r>
      <w:r>
        <w:rPr>
          <w:rStyle w:val="VerbatimChar"/>
        </w:rPr>
        <w:t xml:space="preserve">./data</w:t>
      </w:r>
      <w:r>
        <w:t xml:space="preserve"> </w:t>
      </w:r>
      <w:r>
        <w:t xml:space="preserve">or in local analysis folder. If the file is located in the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folder it has precedence (is meant to be modified by a user). Though, if the config file is not found in analysis folder it is read from the default location in the</w:t>
      </w:r>
      <w:r>
        <w:t xml:space="preserve"> </w:t>
      </w:r>
      <w:r>
        <w:rPr>
          <w:rStyle w:val="VerbatimChar"/>
        </w:rPr>
        <w:t xml:space="preserve">./data</w:t>
      </w:r>
      <w:r>
        <w:t xml:space="preserve"> </w:t>
      </w:r>
      <w:r>
        <w:t xml:space="preserve">folder.</w:t>
      </w:r>
      <w:r>
        <w:br/>
      </w:r>
      <w:r>
        <w:rPr>
          <w:rStyle w:val="VerbatimChar"/>
        </w:rPr>
        <w:t xml:space="preserve">referenceValue</w:t>
      </w:r>
      <w:r>
        <w:t xml:space="preserve"> </w:t>
      </w:r>
      <w:r>
        <w:t xml:space="preserve">is identified automatically from the analysis folder name (see above). If the analysis folder name contains a string</w:t>
      </w:r>
      <w:r>
        <w:t xml:space="preserve"> </w:t>
      </w:r>
      <w:r>
        <w:rPr>
          <w:rStyle w:val="VerbatimChar"/>
        </w:rPr>
        <w:t xml:space="preserve">AAV8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AAV9</w:t>
      </w:r>
      <w:r>
        <w:t xml:space="preserve"> </w:t>
      </w:r>
      <w:r>
        <w:t xml:space="preserve">reference value for given</w:t>
      </w:r>
      <w:r>
        <w:t xml:space="preserve"> </w:t>
      </w:r>
      <w:r>
        <w:rPr>
          <w:rStyle w:val="VerbatimChar"/>
        </w:rPr>
        <w:t xml:space="preserve">AAV*</w:t>
      </w:r>
      <w:r>
        <w:t xml:space="preserve"> </w:t>
      </w:r>
      <w:r>
        <w:t xml:space="preserve">is used, otherwise an exception is thrown.</w:t>
      </w:r>
    </w:p>
    <w:p>
      <w:pPr>
        <w:pStyle w:val="BodyText"/>
      </w:pPr>
      <w:r>
        <w:t xml:space="preserve">Validity limits are defined for AAV9 or AAV8. Test validity is checked according to 3σ limits. Control result shall lie within interval &lt;</w:t>
      </w:r>
      <w:r>
        <w:rPr>
          <w:rStyle w:val="VerbatimChar"/>
        </w:rPr>
        <w:t xml:space="preserve">limits[0]</w:t>
      </w:r>
      <w:r>
        <w:t xml:space="preserve">,</w:t>
      </w:r>
      <w:r>
        <w:t xml:space="preserve"> </w:t>
      </w:r>
      <w:r>
        <w:rPr>
          <w:rStyle w:val="VerbatimChar"/>
        </w:rPr>
        <w:t xml:space="preserve">limits[1]</w:t>
      </w:r>
      <w:r>
        <w:t xml:space="preserve">&gt;. Default limits should not be used, and are defined so that the</w:t>
      </w:r>
      <w:r>
        <w:t xml:space="preserve"> </w:t>
      </w:r>
      <w:r>
        <w:rPr>
          <w:rStyle w:val="VerbatimChar"/>
        </w:rPr>
        <w:t xml:space="preserve">report_gen</w:t>
      </w:r>
      <w:r>
        <w:t xml:space="preserve"> </w:t>
      </w:r>
      <w:r>
        <w:t xml:space="preserve">doesn’t thow exception (fail).</w:t>
      </w:r>
    </w:p>
    <w:p>
      <w:pPr>
        <w:pStyle w:val="BodyText"/>
      </w:pPr>
      <w:r>
        <w:t xml:space="preserve">The file shall contain entries listed below.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"pandoc_bin"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"c:/work/pandoc/pandoc"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"pdflatex_bin"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"c:/Users/hwn6193/AppData/Local/Programs/MiKTeX/miktex/bin/x64/pdflatex"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"reference_docx"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"custom-reference.docx"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"plate_layout_id"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"plate_layout_ident.csv"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"plate_layout_num"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"plate_layout_num.csv"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"plate_layout_dil_id"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"plate_layout_dil_id.csv"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"numeric_warning_disable"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"AAV9"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"SOP-234702"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"MHF"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"DMD-211328"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"referenceValue"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1.7954e+10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"limits"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1.888E+12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2.703E+12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"AAV8"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"SOP"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"SOP-236462"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"MHF"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"DMD-211877"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"referenceValue"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2.1167E+10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"limits"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1.119E+11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1.648E+11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"default"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"referenceValue"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1.0E+10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"limits"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1.0E+10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1.0E+12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"dilutions"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1.0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2.0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8.0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16.0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32.0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64.0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27"/>
    <w:bookmarkStart w:id="28" w:name="Xc834445de7d75d90659dc8e64ed970b8910bc38"/>
    <w:p>
      <w:pPr>
        <w:pStyle w:val="Heading3"/>
      </w:pPr>
      <w:r>
        <w:t xml:space="preserve">Running with exported photometer</w:t>
      </w:r>
      <w:r>
        <w:t xml:space="preserve"> </w:t>
      </w:r>
      <w:r>
        <w:rPr>
          <w:rStyle w:val="VerbatimChar"/>
        </w:rPr>
        <w:t xml:space="preserve">txt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This is a prefered way to run the preocessing of the results and following report generation.</w:t>
      </w:r>
      <w:r>
        <w:br/>
      </w:r>
      <w:r>
        <w:rPr>
          <w:rStyle w:val="VerbatimChar"/>
        </w:rPr>
        <w:t xml:space="preserve">--cfg</w:t>
      </w:r>
      <w:r>
        <w:t xml:space="preserve"> </w:t>
      </w:r>
      <w:r>
        <w:t xml:space="preserve">argument is a path of config directory, containing</w:t>
      </w:r>
      <w:r>
        <w:t xml:space="preserve"> </w:t>
      </w:r>
      <w:r>
        <w:rPr>
          <w:rStyle w:val="VerbatimChar"/>
        </w:rPr>
        <w:t xml:space="preserve">params.json</w:t>
      </w:r>
      <w:r>
        <w:t xml:space="preserve">, layout</w:t>
      </w:r>
      <w:r>
        <w:t xml:space="preserve"> </w:t>
      </w:r>
      <w:r>
        <w:rPr>
          <w:rStyle w:val="VerbatimChar"/>
        </w:rPr>
        <w:t xml:space="preserve">*.csv</w:t>
      </w:r>
      <w:r>
        <w:t xml:space="preserve"> </w:t>
      </w:r>
      <w:r>
        <w:t xml:space="preserve">files,</w:t>
      </w:r>
      <w:r>
        <w:t xml:space="preserve"> </w:t>
      </w:r>
      <w:r>
        <w:rPr>
          <w:rStyle w:val="VerbatimChar"/>
        </w:rPr>
        <w:t xml:space="preserve">custom-reference.docx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params.json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report_gen.py DIR_NAME </w:t>
      </w:r>
      <w:r>
        <w:rPr>
          <w:rStyle w:val="AttributeTok"/>
        </w:rPr>
        <w:t xml:space="preserve">--cfg</w:t>
      </w:r>
      <w:r>
        <w:rPr>
          <w:rStyle w:val="NormalTok"/>
        </w:rPr>
        <w:t xml:space="preserve"> ./data</w:t>
      </w:r>
    </w:p>
    <w:bookmarkEnd w:id="28"/>
    <w:bookmarkEnd w:id="29"/>
    <w:bookmarkStart w:id="37" w:name="hamilton"/>
    <w:p>
      <w:pPr>
        <w:pStyle w:val="Heading2"/>
      </w:pPr>
      <w:r>
        <w:t xml:space="preserve">HAMILTON</w:t>
      </w:r>
    </w:p>
    <w:p>
      <w:pPr>
        <w:pStyle w:val="FirstParagraph"/>
      </w:pPr>
      <w:r>
        <w:t xml:space="preserve">To export data in</w:t>
      </w:r>
      <w:r>
        <w:t xml:space="preserve"> </w:t>
      </w:r>
      <w:r>
        <w:rPr>
          <w:bCs/>
          <w:b/>
        </w:rPr>
        <w:t xml:space="preserve">TXT</w:t>
      </w:r>
      <w:r>
        <w:t xml:space="preserve"> </w:t>
      </w:r>
      <w:r>
        <w:t xml:space="preserve">format run the</w:t>
      </w:r>
      <w:r>
        <w:t xml:space="preserve"> </w:t>
      </w:r>
      <w:r>
        <w:rPr>
          <w:iCs/>
          <w:i/>
        </w:rPr>
        <w:t xml:space="preserve">SoftMax Pro</w:t>
      </w:r>
      <w:r>
        <w:t xml:space="preserve"> </w:t>
      </w:r>
      <w:r>
        <w:t xml:space="preserve">softare, and open given analysis. From the main menu choose</w:t>
      </w:r>
      <w:r>
        <w:t xml:space="preserve"> </w:t>
      </w:r>
      <w:r>
        <w:t xml:space="preserve">‘</w:t>
      </w:r>
      <w:r>
        <w:t xml:space="preserve">Export</w:t>
      </w:r>
      <w:r>
        <w:t xml:space="preserve">’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Export to XML XLS TXT</w:t>
      </w:r>
      <w:r>
        <w:t xml:space="preserve"> </w:t>
      </w:r>
      <w:r>
        <w:t xml:space="preserve">option.</w:t>
      </w:r>
    </w:p>
    <w:p>
      <w:pPr>
        <w:pStyle w:val="CaptionedFigure"/>
      </w:pPr>
      <w:r>
        <w:drawing>
          <wp:inline>
            <wp:extent cx="4962525" cy="5467350"/>
            <wp:effectExtent b="0" l="0" r="0" t="0"/>
            <wp:docPr descr="softmax_export" title="" id="31" name="Picture"/>
            <a:graphic>
              <a:graphicData uri="http://schemas.openxmlformats.org/drawingml/2006/picture">
                <pic:pic>
                  <pic:nvPicPr>
                    <pic:cNvPr descr="media\softmax_menu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softmax_export</w:t>
      </w:r>
    </w:p>
    <w:p>
      <w:pPr>
        <w:pStyle w:val="CaptionedFigure"/>
      </w:pPr>
      <w:r>
        <w:drawing>
          <wp:inline>
            <wp:extent cx="3924300" cy="4581525"/>
            <wp:effectExtent b="0" l="0" r="0" t="0"/>
            <wp:docPr descr="softmax_export_opt" title="" id="34" name="Picture"/>
            <a:graphic>
              <a:graphicData uri="http://schemas.openxmlformats.org/drawingml/2006/picture">
                <pic:pic>
                  <pic:nvPicPr>
                    <pic:cNvPr descr="media\softmax_export_op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softmax_export_opt</w:t>
      </w:r>
    </w:p>
    <w:p>
      <w:pPr>
        <w:pStyle w:val="BodyText"/>
      </w:pPr>
      <w:r>
        <w:rPr>
          <w:bCs/>
          <w:b/>
        </w:rPr>
        <w:t xml:space="preserve">Export measurements for all plates.</w:t>
      </w:r>
    </w:p>
    <w:p>
      <w:pPr>
        <w:pStyle w:val="BodyText"/>
      </w:pPr>
      <w:r>
        <w:rPr>
          <w:bCs/>
          <w:b/>
        </w:rPr>
        <w:t xml:space="preserve">Make sure the exported file name matches the folder name structure!</w:t>
      </w:r>
      <w:r>
        <w:br/>
      </w:r>
      <w:r>
        <w:t xml:space="preserve">folder name example</w:t>
      </w:r>
      <w:r>
        <w:t xml:space="preserve"> </w:t>
      </w:r>
      <w:r>
        <w:rPr>
          <w:rStyle w:val="VerbatimChar"/>
        </w:rPr>
        <w:t xml:space="preserve">230922_AAV9-ELISA_fff_GN004360-086</w:t>
      </w:r>
      <w:r>
        <w:br/>
      </w:r>
      <w:r>
        <w:t xml:space="preserve">corresponding file name example</w:t>
      </w:r>
      <w:r>
        <w:t xml:space="preserve"> </w:t>
      </w:r>
      <w:r>
        <w:rPr>
          <w:rStyle w:val="VerbatimChar"/>
        </w:rPr>
        <w:t xml:space="preserve">230922_AAV9-ELISA_1_20230922_103137.txt</w:t>
      </w:r>
    </w:p>
    <w:p>
      <w:pPr>
        <w:pStyle w:val="BodyText"/>
      </w:pPr>
      <w:r>
        <w:t xml:space="preserve">Folder with Hamilton related stuff.</w:t>
      </w:r>
    </w:p>
    <w:p>
      <w:pPr>
        <w:pStyle w:val="BodyText"/>
      </w:pPr>
      <w:hyperlink r:id="rId36">
        <w:r>
          <w:rPr>
            <w:rStyle w:val="Hyperlink"/>
          </w:rPr>
          <w:t xml:space="preserve">Hamilton</w:t>
        </w:r>
      </w:hyperlink>
    </w:p>
    <w:bookmarkEnd w:id="37"/>
    <w:bookmarkStart w:id="38" w:name="profiling"/>
    <w:p>
      <w:pPr>
        <w:pStyle w:val="Heading2"/>
      </w:pPr>
      <w:r>
        <w:t xml:space="preserve">Profiling</w:t>
      </w:r>
    </w:p>
    <w:p>
      <w:pPr>
        <w:pStyle w:val="FirstParagraph"/>
      </w:pPr>
      <w:r>
        <w:t xml:space="preserve">Define profiling in</w:t>
      </w:r>
      <w:r>
        <w:t xml:space="preserve"> </w:t>
      </w:r>
      <w:r>
        <w:rPr>
          <w:rStyle w:val="VerbatimChar"/>
        </w:rPr>
        <w:t xml:space="preserve">launch.json</w:t>
      </w:r>
      <w:r>
        <w:t xml:space="preserve"> </w:t>
      </w:r>
      <w:r>
        <w:t xml:space="preserve">in VS Code: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"profiler"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"python"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"request"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"launch"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"module"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"cProfile"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"args"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"-o"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"./.tmp/tmp.prof"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"report_gen.py"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"--analysis"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"c:/work/hamilton/analysis/231213_AAV9-ELISA_sey_GN004240-068"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"--cfg"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"C:/work/elisa-report/data"</w:t>
      </w:r>
      <w:r>
        <w:br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Run the profing server… (make su snakeviz is installed</w:t>
      </w:r>
      <w:r>
        <w:t xml:space="preserve"> </w:t>
      </w:r>
      <w:r>
        <w:rPr>
          <w:rStyle w:val="VerbatimChar"/>
        </w:rPr>
        <w:t xml:space="preserve">pip install snakeviz</w:t>
      </w:r>
      <w:r>
        <w:t xml:space="preserve">)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snakeviz .tmp/tmp.prof </w:t>
      </w:r>
      <w:r>
        <w:rPr>
          <w:rStyle w:val="AttributeTok"/>
        </w:rPr>
        <w:t xml:space="preserve">--server</w:t>
      </w:r>
    </w:p>
    <w:bookmarkEnd w:id="38"/>
    <w:bookmarkEnd w:id="39"/>
    <w:sectPr w:rsidR="001029F6" w:rsidRPr="005336F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74404583" w:numId="1">
    <w:abstractNumId w:val="8"/>
  </w:num>
  <w:num w16cid:durableId="880940858" w:numId="2">
    <w:abstractNumId w:val="6"/>
  </w:num>
  <w:num w16cid:durableId="1749841652" w:numId="3">
    <w:abstractNumId w:val="5"/>
  </w:num>
  <w:num w16cid:durableId="445121014" w:numId="4">
    <w:abstractNumId w:val="4"/>
  </w:num>
  <w:num w16cid:durableId="1788893220" w:numId="5">
    <w:abstractNumId w:val="7"/>
  </w:num>
  <w:num w16cid:durableId="1920630490" w:numId="6">
    <w:abstractNumId w:val="3"/>
  </w:num>
  <w:num w16cid:durableId="193617822" w:numId="7">
    <w:abstractNumId w:val="2"/>
  </w:num>
  <w:num w16cid:durableId="624240684" w:numId="8">
    <w:abstractNumId w:val="1"/>
  </w:num>
  <w:num w16cid:durableId="868026574" w:numId="9">
    <w:abstractNumId w:val="0"/>
  </w:num>
  <w:num w16cid:durableId="2119906930" w:numId="10">
    <w:abstractNumId w:val="9"/>
  </w:num>
  <w:num w16cid:durableId="1677802127" w:numId="11">
    <w:abstractNumId w:val="9"/>
  </w:num>
  <w:num w16cid:durableId="970020406" w:numId="12">
    <w:abstractNumId w:val="9"/>
  </w:num>
  <w:num w16cid:durableId="795373610" w:numId="13">
    <w:abstractNumId w:val="9"/>
  </w:num>
  <w:num w16cid:durableId="282467775" w:numId="14">
    <w:abstractNumId w:val="9"/>
  </w:num>
  <w:num w16cid:durableId="715471654" w:numId="15">
    <w:abstractNumId w:val="9"/>
  </w:num>
  <w:num w16cid:durableId="1137727018" w:numId="16">
    <w:abstractNumId w:val="9"/>
  </w:num>
  <w:num w16cid:durableId="56784497" w:numId="17">
    <w:abstractNumId w:val="9"/>
  </w:num>
  <w:num w16cid:durableId="991834563" w:numId="18">
    <w:abstractNumId w:val="9"/>
  </w:num>
  <w:num w16cid:durableId="977683774" w:numId="19">
    <w:abstractNumId w:val="9"/>
  </w:num>
  <w:num w16cid:durableId="1270118861" w:numId="20">
    <w:abstractNumId w:val="9"/>
  </w:num>
  <w:num w16cid:durableId="352149151" w:numId="21">
    <w:abstractNumId w:val="9"/>
  </w:num>
  <w:num w16cid:durableId="718171850" w:numId="22">
    <w:abstractNumId w:val="9"/>
  </w:num>
  <w:num w16cid:durableId="196891668" w:numId="23">
    <w:abstractNumId w:val="9"/>
  </w:num>
  <w:num w16cid:durableId="1581597146" w:numId="24">
    <w:abstractNumId w:val="9"/>
  </w:num>
  <w:num w16cid:durableId="599875178" w:numId="25">
    <w:abstractNumId w:val="9"/>
  </w:num>
  <w:num w16cid:durableId="279727919" w:numId="26">
    <w:abstractNumId w:val="9"/>
  </w:num>
  <w:num w16cid:durableId="113327975" w:numId="27">
    <w:abstractNumId w:val="9"/>
  </w:num>
  <w:num w16cid:durableId="205718974" w:numId="28">
    <w:abstractNumId w:val="9"/>
  </w:num>
  <w:num w16cid:durableId="471483894" w:numId="29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134DAA"/>
  </w:style>
  <w:style w:styleId="Heading1" w:type="paragraph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color="595959" w:space="1" w:sz="4" w:themeColor="text1" w:themeTint="A6" w:val="single"/>
      </w:pBdr>
      <w:spacing w:before="360"/>
      <w:outlineLvl w:val="0"/>
    </w:pPr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after="0" w:before="360"/>
      <w:outlineLvl w:val="1"/>
    </w:pPr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after="0" w:before="200"/>
      <w:outlineLvl w:val="4"/>
    </w:pPr>
    <w:rPr>
      <w:rFonts w:asciiTheme="majorHAnsi" w:cstheme="majorBidi" w:eastAsiaTheme="majorEastAsia" w:hAnsiTheme="majorHAnsi"/>
      <w:color w:themeColor="text2" w:themeShade="BF" w:val="17365D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text2" w:themeShade="BF" w:val="17365D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134DAA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134DAA"/>
    <w:rPr>
      <w:rFonts w:asciiTheme="majorHAnsi" w:cstheme="majorBidi" w:eastAsiaTheme="majorEastAsia" w:hAnsiTheme="majorHAnsi"/>
      <w:b/>
      <w:bCs/>
      <w:smallCaps/>
      <w:color w:themeColor="text1" w:val="000000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134DAA"/>
    <w:rPr>
      <w:rFonts w:asciiTheme="majorHAnsi" w:cstheme="majorBidi" w:eastAsiaTheme="majorEastAsia" w:hAnsiTheme="majorHAnsi"/>
      <w:b/>
      <w:bCs/>
      <w:smallCaps/>
      <w:color w:themeColor="text1" w:val="000000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134DAA"/>
    <w:rPr>
      <w:rFonts w:asciiTheme="majorHAnsi" w:cstheme="majorBidi" w:eastAsiaTheme="majorEastAsia" w:hAnsiTheme="majorHAnsi"/>
      <w:b/>
      <w:bCs/>
      <w:color w:themeColor="text1" w:val="000000"/>
    </w:rPr>
  </w:style>
  <w:style w:styleId="Title" w:type="paragraph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34DAA"/>
    <w:rPr>
      <w:rFonts w:asciiTheme="majorHAnsi" w:cstheme="majorBidi" w:eastAsiaTheme="majorEastAsia" w:hAnsiTheme="majorHAnsi"/>
      <w:color w:themeColor="text1" w:val="00000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themeColor="text1" w:themeTint="A5" w:val="5A5A5A"/>
      <w:spacing w:val="10"/>
    </w:rPr>
  </w:style>
  <w:style w:customStyle="1" w:styleId="SubtitleChar" w:type="character">
    <w:name w:val="Subtitle Char"/>
    <w:basedOn w:val="DefaultParagraphFont"/>
    <w:link w:val="Subtitle"/>
    <w:uiPriority w:val="11"/>
    <w:rsid w:val="00134DAA"/>
    <w:rPr>
      <w:color w:themeColor="text1" w:themeTint="A5" w:val="5A5A5A"/>
      <w:spacing w:val="10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134DAA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134DAA"/>
    <w:rPr>
      <w:rFonts w:asciiTheme="majorHAnsi" w:cstheme="majorBidi" w:eastAsiaTheme="majorEastAsia" w:hAnsiTheme="majorHAnsi"/>
      <w:b/>
      <w:bCs/>
      <w:i/>
      <w:iCs/>
      <w:color w:themeColor="text1" w:val="00000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134DAA"/>
    <w:rPr>
      <w:rFonts w:asciiTheme="majorHAnsi" w:cstheme="majorBidi" w:eastAsiaTheme="majorEastAsia" w:hAnsiTheme="majorHAnsi"/>
      <w:color w:themeColor="text2" w:themeShade="BF" w:val="17365D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134DAA"/>
    <w:rPr>
      <w:rFonts w:asciiTheme="majorHAnsi" w:cstheme="majorBidi" w:eastAsiaTheme="majorEastAsia" w:hAnsiTheme="majorHAnsi"/>
      <w:i/>
      <w:iCs/>
      <w:color w:themeColor="text2" w:themeShade="BF" w:val="17365D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134DA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134DA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34DAA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themeColor="text2" w:val="1F497D"/>
      <w:sz w:val="18"/>
      <w:szCs w:val="18"/>
    </w:rPr>
  </w:style>
  <w:style w:styleId="Strong" w:type="character">
    <w:name w:val="Strong"/>
    <w:basedOn w:val="DefaultParagraphFont"/>
    <w:uiPriority w:val="22"/>
    <w:qFormat/>
    <w:rsid w:val="00134DAA"/>
    <w:rPr>
      <w:b/>
      <w:bCs/>
      <w:color w:themeColor="text1" w:val="000000"/>
    </w:rPr>
  </w:style>
  <w:style w:styleId="Emphasis" w:type="character">
    <w:name w:val="Emphasis"/>
    <w:basedOn w:val="DefaultParagraphFont"/>
    <w:uiPriority w:val="20"/>
    <w:qFormat/>
    <w:rsid w:val="00134DAA"/>
    <w:rPr>
      <w:i/>
      <w:iCs/>
      <w:color w:val="auto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34DAA"/>
    <w:pPr>
      <w:pBdr>
        <w:top w:color="F2F2F2" w:space="1" w:sz="24" w:themeColor="background1" w:themeShade="F2" w:val="single"/>
        <w:bottom w:color="F2F2F2" w:space="1" w:sz="24" w:themeColor="background1" w:themeShade="F2" w:val="single"/>
      </w:pBdr>
      <w:shd w:color="auto" w:fill="F2F2F2" w:themeFill="background1" w:themeFillShade="F2" w:val="clear"/>
      <w:spacing w:after="240" w:before="240"/>
      <w:ind w:left="936" w:right="936"/>
      <w:jc w:val="center"/>
    </w:pPr>
    <w:rPr>
      <w:color w:themeColor="text1" w:val="000000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34DAA"/>
    <w:rPr>
      <w:color w:themeColor="text1" w:val="000000"/>
      <w:shd w:color="auto" w:fill="F2F2F2" w:themeFill="background1" w:themeFillShade="F2" w:val="clear"/>
    </w:rPr>
  </w:style>
  <w:style w:styleId="SubtleEmphasis" w:type="character">
    <w:name w:val="Subtle Emphasis"/>
    <w:basedOn w:val="DefaultParagraphFont"/>
    <w:uiPriority w:val="19"/>
    <w:qFormat/>
    <w:rsid w:val="00134DAA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styleId="SubtleReference" w:type="character">
    <w:name w:val="Subtle Reference"/>
    <w:basedOn w:val="DefaultParagraphFont"/>
    <w:uiPriority w:val="31"/>
    <w:qFormat/>
    <w:rsid w:val="00134DAA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styleId="BookTitle" w:type="character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hyperlink" Id="rId36" Target="C:\Users\hwn6193\OneDrive%20-%20Takeda\2%20Ger&#228;te\Hamilton_System" TargetMode="External" /><Relationship Type="http://schemas.openxmlformats.org/officeDocument/2006/relationships/hyperlink" Id="rId20" Target="https://pandoc.org/installing.html" TargetMode="External" /><Relationship Type="http://schemas.openxmlformats.org/officeDocument/2006/relationships/hyperlink" Id="rId21" Target="https://www.latex-project.org/get/#tex-distributio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C:\Users\hwn6193\OneDrive%20-%20Takeda\2%20Ger&#228;te\Hamilton_System" TargetMode="External" /><Relationship Type="http://schemas.openxmlformats.org/officeDocument/2006/relationships/hyperlink" Id="rId20" Target="https://pandoc.org/installing.html" TargetMode="External" /><Relationship Type="http://schemas.openxmlformats.org/officeDocument/2006/relationships/hyperlink" Id="rId21" Target="https://www.latex-project.org/get/#tex-distribu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2024-02-05T09:50:46Z</dcterms:created>
  <dcterms:modified xsi:type="dcterms:W3CDTF">2024-02-05T09:50:46Z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